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9C" w:rsidRDefault="003F3845">
      <w:pPr>
        <w:pStyle w:val="BodyText"/>
        <w:ind w:left="4839"/>
        <w:rPr>
          <w:rFonts w:ascii="Times New Roman"/>
          <w:sz w:val="20"/>
        </w:rPr>
      </w:pPr>
      <w:r>
        <w:rPr>
          <w:rFonts w:ascii="Times New Roman"/>
          <w:sz w:val="20"/>
        </w:rPr>
      </w:r>
      <w:r>
        <w:rPr>
          <w:rFonts w:ascii="Times New Roman"/>
          <w:sz w:val="20"/>
        </w:rPr>
        <w:pict>
          <v:group id="_x0000_s1037" style="width:80.25pt;height:24.25pt;mso-position-horizontal-relative:char;mso-position-vertical-relative:line" coordsize="160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1605;height:485">
              <v:imagedata r:id="rId5" o:title=""/>
            </v:shape>
            <v:shapetype id="_x0000_t202" coordsize="21600,21600" o:spt="202" path="m,l,21600r21600,l21600,xe">
              <v:stroke joinstyle="miter"/>
              <v:path gradientshapeok="t" o:connecttype="rect"/>
            </v:shapetype>
            <v:shape id="_x0000_s1038" type="#_x0000_t202" style="position:absolute;left:1375;top:387;width:38;height:36" filled="f" stroked="f">
              <v:textbox inset="0,0,0,0">
                <w:txbxContent>
                  <w:p w:rsidR="00B7229C" w:rsidRDefault="00CD566E">
                    <w:pPr>
                      <w:spacing w:line="36" w:lineRule="exact"/>
                      <w:rPr>
                        <w:rFonts w:ascii="Play"/>
                        <w:sz w:val="3"/>
                      </w:rPr>
                    </w:pPr>
                    <w:r>
                      <w:rPr>
                        <w:rFonts w:ascii="Play"/>
                        <w:color w:val="181921"/>
                        <w:w w:val="91"/>
                        <w:sz w:val="3"/>
                      </w:rPr>
                      <w:t>R</w:t>
                    </w:r>
                  </w:p>
                </w:txbxContent>
              </v:textbox>
            </v:shape>
            <w10:anchorlock/>
          </v:group>
        </w:pict>
      </w:r>
    </w:p>
    <w:p w:rsidR="00B7229C" w:rsidRDefault="00CD566E">
      <w:pPr>
        <w:pStyle w:val="Heading1"/>
        <w:spacing w:before="34" w:line="240" w:lineRule="auto"/>
        <w:ind w:left="2987"/>
      </w:pPr>
      <w:r>
        <w:rPr>
          <w:color w:val="231F20"/>
        </w:rPr>
        <w:t>NEXXT MATRIXX</w:t>
      </w:r>
      <w:r>
        <w:rPr>
          <w:color w:val="231F20"/>
          <w:position w:val="8"/>
          <w:sz w:val="14"/>
        </w:rPr>
        <w:t xml:space="preserve">® </w:t>
      </w:r>
      <w:r>
        <w:rPr>
          <w:color w:val="231F20"/>
        </w:rPr>
        <w:t xml:space="preserve">Stand Alone Cervical </w:t>
      </w:r>
      <w:r w:rsidR="005015A1">
        <w:rPr>
          <w:color w:val="231F20"/>
        </w:rPr>
        <w:t xml:space="preserve">– TL </w:t>
      </w:r>
      <w:r>
        <w:rPr>
          <w:color w:val="231F20"/>
        </w:rPr>
        <w:t>System</w:t>
      </w:r>
    </w:p>
    <w:p w:rsidR="00B7229C" w:rsidRDefault="00CD566E">
      <w:pPr>
        <w:tabs>
          <w:tab w:val="left" w:pos="5997"/>
        </w:tabs>
        <w:spacing w:before="249" w:line="216" w:lineRule="auto"/>
        <w:ind w:left="3838" w:right="3593"/>
        <w:jc w:val="center"/>
        <w:rPr>
          <w:sz w:val="16"/>
        </w:rPr>
      </w:pPr>
      <w:r>
        <w:rPr>
          <w:color w:val="231F20"/>
          <w:sz w:val="16"/>
        </w:rPr>
        <w:t>14425 Bergen Blvd, Suite B, Noblesville, IN 46060</w:t>
      </w:r>
      <w:r>
        <w:rPr>
          <w:color w:val="231F20"/>
          <w:spacing w:val="-16"/>
          <w:sz w:val="16"/>
        </w:rPr>
        <w:t xml:space="preserve"> </w:t>
      </w:r>
      <w:r>
        <w:rPr>
          <w:color w:val="231F20"/>
          <w:sz w:val="16"/>
        </w:rPr>
        <w:t>USA Phone:</w:t>
      </w:r>
      <w:r>
        <w:rPr>
          <w:color w:val="231F20"/>
          <w:spacing w:val="-4"/>
          <w:sz w:val="16"/>
        </w:rPr>
        <w:t xml:space="preserve"> </w:t>
      </w:r>
      <w:r>
        <w:rPr>
          <w:color w:val="231F20"/>
          <w:sz w:val="16"/>
        </w:rPr>
        <w:t>317-436-7801</w:t>
      </w:r>
      <w:r>
        <w:rPr>
          <w:color w:val="231F20"/>
          <w:sz w:val="16"/>
        </w:rPr>
        <w:tab/>
      </w:r>
      <w:r>
        <w:rPr>
          <w:color w:val="231F20"/>
          <w:spacing w:val="-3"/>
          <w:sz w:val="16"/>
        </w:rPr>
        <w:t xml:space="preserve">Fax: </w:t>
      </w:r>
      <w:r>
        <w:rPr>
          <w:color w:val="231F20"/>
          <w:sz w:val="16"/>
        </w:rPr>
        <w:t>317-245-2518</w:t>
      </w:r>
    </w:p>
    <w:p w:rsidR="00B7229C" w:rsidRDefault="00B7229C">
      <w:pPr>
        <w:pStyle w:val="BodyText"/>
        <w:spacing w:before="6"/>
        <w:ind w:left="0"/>
        <w:rPr>
          <w:sz w:val="14"/>
        </w:rPr>
      </w:pPr>
    </w:p>
    <w:p w:rsidR="00B7229C" w:rsidRDefault="00CD566E">
      <w:pPr>
        <w:spacing w:before="1" w:line="216" w:lineRule="auto"/>
        <w:ind w:left="2175" w:right="1975"/>
        <w:jc w:val="center"/>
        <w:rPr>
          <w:sz w:val="16"/>
        </w:rPr>
      </w:pPr>
      <w:r>
        <w:rPr>
          <w:color w:val="231F20"/>
          <w:sz w:val="16"/>
        </w:rPr>
        <w:t>This booklet is designed to assist in using the NEXXT MATRIXX</w:t>
      </w:r>
      <w:r>
        <w:rPr>
          <w:color w:val="231F20"/>
          <w:position w:val="5"/>
          <w:sz w:val="9"/>
        </w:rPr>
        <w:t xml:space="preserve">® </w:t>
      </w:r>
      <w:r>
        <w:rPr>
          <w:color w:val="231F20"/>
          <w:sz w:val="16"/>
        </w:rPr>
        <w:t>Stand Alone Cervical</w:t>
      </w:r>
      <w:r w:rsidR="003F3845">
        <w:rPr>
          <w:color w:val="231F20"/>
          <w:sz w:val="16"/>
        </w:rPr>
        <w:t xml:space="preserve"> – TL</w:t>
      </w:r>
      <w:bookmarkStart w:id="0" w:name="_GoBack"/>
      <w:bookmarkEnd w:id="0"/>
      <w:r>
        <w:rPr>
          <w:color w:val="231F20"/>
          <w:sz w:val="16"/>
        </w:rPr>
        <w:t xml:space="preserve"> System. It is not a reference for surgical techniques.</w:t>
      </w:r>
    </w:p>
    <w:p w:rsidR="00B7229C" w:rsidRDefault="00CD566E">
      <w:pPr>
        <w:spacing w:line="196" w:lineRule="exact"/>
        <w:ind w:left="3835" w:right="3593"/>
        <w:jc w:val="center"/>
        <w:rPr>
          <w:sz w:val="16"/>
        </w:rPr>
      </w:pPr>
      <w:r>
        <w:rPr>
          <w:color w:val="231F20"/>
          <w:sz w:val="16"/>
        </w:rPr>
        <w:t>70-0</w:t>
      </w:r>
      <w:r w:rsidR="005015A1">
        <w:rPr>
          <w:color w:val="231F20"/>
          <w:sz w:val="16"/>
        </w:rPr>
        <w:t>70</w:t>
      </w:r>
      <w:r>
        <w:rPr>
          <w:color w:val="231F20"/>
          <w:sz w:val="16"/>
        </w:rPr>
        <w:t>, Rev A</w:t>
      </w:r>
    </w:p>
    <w:p w:rsidR="00B7229C" w:rsidRDefault="00B7229C">
      <w:pPr>
        <w:pStyle w:val="BodyText"/>
        <w:ind w:left="0"/>
        <w:rPr>
          <w:sz w:val="20"/>
        </w:rPr>
      </w:pPr>
    </w:p>
    <w:p w:rsidR="00B7229C" w:rsidRDefault="00B7229C">
      <w:pPr>
        <w:pStyle w:val="BodyText"/>
        <w:ind w:left="0"/>
        <w:rPr>
          <w:sz w:val="20"/>
        </w:rPr>
      </w:pPr>
    </w:p>
    <w:p w:rsidR="00B7229C" w:rsidRDefault="00CD566E">
      <w:pPr>
        <w:pStyle w:val="Heading1"/>
        <w:spacing w:before="175"/>
        <w:ind w:left="118"/>
      </w:pPr>
      <w:r>
        <w:rPr>
          <w:color w:val="231F20"/>
        </w:rPr>
        <w:t>DEVICE DESCRIPTION</w:t>
      </w:r>
    </w:p>
    <w:p w:rsidR="005015A1" w:rsidRDefault="005015A1">
      <w:pPr>
        <w:pStyle w:val="Heading1"/>
        <w:spacing w:before="269"/>
        <w:ind w:left="118"/>
        <w:rPr>
          <w:rFonts w:ascii="Segoe UI Light" w:eastAsia="Segoe UI Light" w:hAnsi="Segoe UI Light" w:cs="Segoe UI Light"/>
          <w:b w:val="0"/>
          <w:bCs w:val="0"/>
          <w:color w:val="231F20"/>
        </w:rPr>
      </w:pPr>
      <w:r w:rsidRPr="005015A1">
        <w:rPr>
          <w:rFonts w:ascii="Segoe UI Light" w:eastAsia="Segoe UI Light" w:hAnsi="Segoe UI Light" w:cs="Segoe UI Light"/>
          <w:b w:val="0"/>
          <w:bCs w:val="0"/>
          <w:color w:val="231F20"/>
        </w:rPr>
        <w:t>NEXXT MATRIXX</w:t>
      </w:r>
      <w:r w:rsidRPr="005015A1">
        <w:rPr>
          <w:rFonts w:ascii="Segoe UI Light" w:eastAsia="Segoe UI Light" w:hAnsi="Segoe UI Light" w:cs="Segoe UI Light"/>
          <w:b w:val="0"/>
          <w:bCs w:val="0"/>
          <w:color w:val="231F20"/>
          <w:vertAlign w:val="superscript"/>
        </w:rPr>
        <w:t>®</w:t>
      </w:r>
      <w:r w:rsidRPr="005015A1">
        <w:rPr>
          <w:rFonts w:ascii="Segoe UI Light" w:eastAsia="Segoe UI Light" w:hAnsi="Segoe UI Light" w:cs="Segoe UI Light"/>
          <w:b w:val="0"/>
          <w:bCs w:val="0"/>
          <w:color w:val="231F20"/>
        </w:rPr>
        <w:t xml:space="preserve"> is a collection of additively manufactured implants. The Stand Alone Cervical-TL System includes additively manufactured spacer</w:t>
      </w:r>
      <w:r w:rsidR="003F3845">
        <w:rPr>
          <w:rFonts w:ascii="Segoe UI Light" w:eastAsia="Segoe UI Light" w:hAnsi="Segoe UI Light" w:cs="Segoe UI Light"/>
          <w:b w:val="0"/>
          <w:bCs w:val="0"/>
          <w:color w:val="231F20"/>
        </w:rPr>
        <w:t>s</w:t>
      </w:r>
      <w:r w:rsidRPr="005015A1">
        <w:rPr>
          <w:rFonts w:ascii="Segoe UI Light" w:eastAsia="Segoe UI Light" w:hAnsi="Segoe UI Light" w:cs="Segoe UI Light"/>
          <w:b w:val="0"/>
          <w:bCs w:val="0"/>
          <w:color w:val="231F20"/>
        </w:rPr>
        <w:t xml:space="preserve"> and traditionally machined fixation screw implants. The spacer and screw components are available in an assortment of dimensional combinations to accommodate the individual anatomic and clinical circumstances of each patient. The basic shape of the spacer is a structural column to provide surgical stabilization of the spine. Each device comprises an external structural frame having a roughened surface (~7μm). The intervening geometric lattices have 300-700μm pores. The inferior/superior aspects of the spacer incorporates a vertical cavity which can be packed with bone graft material. Each interbody is preassembled with a turn lock mechanism which secures the screw to the spacer component. NEXXT MATRIXX</w:t>
      </w:r>
      <w:r w:rsidRPr="005015A1">
        <w:rPr>
          <w:rFonts w:ascii="Segoe UI Light" w:eastAsia="Segoe UI Light" w:hAnsi="Segoe UI Light" w:cs="Segoe UI Light"/>
          <w:b w:val="0"/>
          <w:bCs w:val="0"/>
          <w:color w:val="231F20"/>
          <w:vertAlign w:val="superscript"/>
        </w:rPr>
        <w:t>®</w:t>
      </w:r>
      <w:r w:rsidRPr="005015A1">
        <w:rPr>
          <w:rFonts w:ascii="Segoe UI Light" w:eastAsia="Segoe UI Light" w:hAnsi="Segoe UI Light" w:cs="Segoe UI Light"/>
          <w:b w:val="0"/>
          <w:bCs w:val="0"/>
          <w:color w:val="231F20"/>
        </w:rPr>
        <w:t xml:space="preserve"> Stand Alone Cervical - TL System spacers and fixation screws are manufactured from Ti-6Al-4V ELI titanium alloy per ASTM F3001 and F136, respectively.</w:t>
      </w:r>
    </w:p>
    <w:p w:rsidR="00B7229C" w:rsidRDefault="00CD566E">
      <w:pPr>
        <w:pStyle w:val="Heading1"/>
        <w:spacing w:before="269"/>
        <w:ind w:left="118"/>
      </w:pPr>
      <w:r>
        <w:rPr>
          <w:color w:val="231F20"/>
        </w:rPr>
        <w:t>INDICATIONS</w:t>
      </w:r>
    </w:p>
    <w:p w:rsidR="005015A1" w:rsidRDefault="005015A1">
      <w:pPr>
        <w:pStyle w:val="Heading1"/>
        <w:spacing w:before="268"/>
        <w:ind w:left="118"/>
        <w:rPr>
          <w:rFonts w:ascii="Segoe UI Light" w:eastAsia="Segoe UI Light" w:hAnsi="Segoe UI Light" w:cs="Segoe UI Light"/>
          <w:b w:val="0"/>
          <w:bCs w:val="0"/>
          <w:color w:val="231F20"/>
        </w:rPr>
      </w:pPr>
      <w:r w:rsidRPr="005015A1">
        <w:rPr>
          <w:rFonts w:ascii="Segoe UI Light" w:eastAsia="Segoe UI Light" w:hAnsi="Segoe UI Light" w:cs="Segoe UI Light"/>
          <w:b w:val="0"/>
          <w:bCs w:val="0"/>
          <w:color w:val="231F20"/>
        </w:rPr>
        <w:t>The NEXXT MATRIXX</w:t>
      </w:r>
      <w:r w:rsidRPr="005015A1">
        <w:rPr>
          <w:rFonts w:ascii="Segoe UI Light" w:eastAsia="Segoe UI Light" w:hAnsi="Segoe UI Light" w:cs="Segoe UI Light"/>
          <w:b w:val="0"/>
          <w:bCs w:val="0"/>
          <w:color w:val="231F20"/>
          <w:vertAlign w:val="superscript"/>
        </w:rPr>
        <w:t>®</w:t>
      </w:r>
      <w:r w:rsidRPr="005015A1">
        <w:rPr>
          <w:rFonts w:ascii="Segoe UI Light" w:eastAsia="Segoe UI Light" w:hAnsi="Segoe UI Light" w:cs="Segoe UI Light"/>
          <w:b w:val="0"/>
          <w:bCs w:val="0"/>
          <w:color w:val="231F20"/>
        </w:rPr>
        <w:t xml:space="preserve"> Stand Alone Cervical - TL System is a stand-alone anterior cervical interbody fusion system intended for use as an adjunct to fusion at one or two contiguous levels (C2-T1) in skeletally mature patients for the treatment of degenerative disc disease (defined as discogenic neck pain with degeneration of the disc confirmed by history and radiographic studies). These patients should have received at least six weeks of non-operative treatment prior to treatment with the device. The NEXXT MATRIXX</w:t>
      </w:r>
      <w:r w:rsidRPr="005015A1">
        <w:rPr>
          <w:rFonts w:ascii="Segoe UI Light" w:eastAsia="Segoe UI Light" w:hAnsi="Segoe UI Light" w:cs="Segoe UI Light"/>
          <w:b w:val="0"/>
          <w:bCs w:val="0"/>
          <w:color w:val="231F20"/>
          <w:vertAlign w:val="superscript"/>
        </w:rPr>
        <w:t>®</w:t>
      </w:r>
      <w:r w:rsidRPr="005015A1">
        <w:rPr>
          <w:rFonts w:ascii="Segoe UI Light" w:eastAsia="Segoe UI Light" w:hAnsi="Segoe UI Light" w:cs="Segoe UI Light"/>
          <w:b w:val="0"/>
          <w:bCs w:val="0"/>
          <w:color w:val="231F20"/>
        </w:rPr>
        <w:t xml:space="preserve"> Stand Alone Cervical - TL System is to be used with autograft bone graft and/or allogeneic bone graft composed of cancellous and/or   corticocancellous bone and implanted via an open, anterior approach. The NEXXT MATRIXX</w:t>
      </w:r>
      <w:r w:rsidRPr="005015A1">
        <w:rPr>
          <w:rFonts w:ascii="Segoe UI Light" w:eastAsia="Segoe UI Light" w:hAnsi="Segoe UI Light" w:cs="Segoe UI Light"/>
          <w:b w:val="0"/>
          <w:bCs w:val="0"/>
          <w:color w:val="231F20"/>
          <w:vertAlign w:val="superscript"/>
        </w:rPr>
        <w:t>®</w:t>
      </w:r>
      <w:r w:rsidRPr="005015A1">
        <w:rPr>
          <w:rFonts w:ascii="Segoe UI Light" w:eastAsia="Segoe UI Light" w:hAnsi="Segoe UI Light" w:cs="Segoe UI Light"/>
          <w:b w:val="0"/>
          <w:bCs w:val="0"/>
          <w:color w:val="231F20"/>
        </w:rPr>
        <w:t xml:space="preserve"> Stand Alone Cervical - TL System is intended to be used with the bone screw fixation provided and requires no additional fixation.</w:t>
      </w:r>
    </w:p>
    <w:p w:rsidR="00B7229C" w:rsidRDefault="00CD566E">
      <w:pPr>
        <w:pStyle w:val="Heading1"/>
        <w:spacing w:before="268"/>
        <w:ind w:left="118"/>
      </w:pPr>
      <w:r>
        <w:rPr>
          <w:color w:val="231F20"/>
        </w:rPr>
        <w:t>CONTRAINDICATIONS</w:t>
      </w:r>
    </w:p>
    <w:p w:rsidR="005015A1" w:rsidRDefault="005015A1" w:rsidP="005015A1">
      <w:pPr>
        <w:pStyle w:val="ListParagraph"/>
        <w:tabs>
          <w:tab w:val="left" w:pos="323"/>
        </w:tabs>
        <w:spacing w:before="11" w:line="216" w:lineRule="auto"/>
        <w:ind w:left="118" w:right="220"/>
        <w:rPr>
          <w:color w:val="231F20"/>
          <w:sz w:val="24"/>
          <w:szCs w:val="24"/>
        </w:rPr>
      </w:pPr>
      <w:r w:rsidRPr="005015A1">
        <w:rPr>
          <w:color w:val="231F20"/>
          <w:sz w:val="24"/>
          <w:szCs w:val="24"/>
        </w:rPr>
        <w:t>The Stand Alone Cervical - TL System contraindications include, but are not limited to:</w:t>
      </w:r>
    </w:p>
    <w:p w:rsidR="005015A1" w:rsidRPr="005015A1" w:rsidRDefault="005015A1" w:rsidP="005015A1">
      <w:pPr>
        <w:spacing w:line="304" w:lineRule="exact"/>
        <w:ind w:left="144"/>
        <w:rPr>
          <w:color w:val="231F20"/>
          <w:sz w:val="24"/>
        </w:rPr>
      </w:pPr>
      <w:r w:rsidRPr="005015A1">
        <w:rPr>
          <w:color w:val="231F20"/>
          <w:sz w:val="24"/>
        </w:rPr>
        <w:t>1.</w:t>
      </w:r>
      <w:r>
        <w:rPr>
          <w:color w:val="231F20"/>
          <w:sz w:val="24"/>
        </w:rPr>
        <w:t xml:space="preserve"> </w:t>
      </w:r>
      <w:r w:rsidRPr="005015A1">
        <w:rPr>
          <w:color w:val="231F20"/>
          <w:sz w:val="24"/>
        </w:rPr>
        <w:t>The presence of infection, pregnancy, metabolic disorders of calcified tissues, grossly distorted anatomy, inadequate tissue coverage, any demonstrated allergy or foreign body sensitivity to any of the implant materials, drugs/alcohol abuse, mental illness, general neurological conditions, immunosuppressive disorders, morbid obesity, patients who are unwilling to restrict activities or follow medical advice, and any condition where the implants interfere with anatomical structures or precludes the benefit of spinal surgery.</w:t>
      </w:r>
    </w:p>
    <w:p w:rsidR="005015A1" w:rsidRPr="005015A1" w:rsidRDefault="005015A1" w:rsidP="005015A1">
      <w:pPr>
        <w:spacing w:line="304" w:lineRule="exact"/>
        <w:ind w:left="144"/>
        <w:rPr>
          <w:color w:val="231F20"/>
          <w:sz w:val="24"/>
        </w:rPr>
      </w:pPr>
      <w:r w:rsidRPr="005015A1">
        <w:rPr>
          <w:color w:val="231F20"/>
          <w:sz w:val="24"/>
        </w:rPr>
        <w:t>2.</w:t>
      </w:r>
      <w:r>
        <w:rPr>
          <w:color w:val="231F20"/>
          <w:sz w:val="24"/>
        </w:rPr>
        <w:t xml:space="preserve"> </w:t>
      </w:r>
      <w:r w:rsidRPr="005015A1">
        <w:rPr>
          <w:color w:val="231F20"/>
          <w:sz w:val="24"/>
        </w:rPr>
        <w:t>Biological factors such as smoking, use of nonsteroidal anti-inflammatory agents, the use of anticoagulants, etc. all have a negative effect on bony union. Contraindications may be relative or absolute and must be carefully weighed against the patient’s entire evaluation.</w:t>
      </w:r>
    </w:p>
    <w:p w:rsidR="005015A1" w:rsidRPr="005015A1" w:rsidRDefault="005015A1" w:rsidP="005015A1">
      <w:pPr>
        <w:spacing w:line="304" w:lineRule="exact"/>
        <w:ind w:left="144"/>
        <w:rPr>
          <w:color w:val="231F20"/>
          <w:sz w:val="24"/>
        </w:rPr>
      </w:pPr>
      <w:r w:rsidRPr="005015A1">
        <w:rPr>
          <w:color w:val="231F20"/>
          <w:sz w:val="24"/>
        </w:rPr>
        <w:t>3.</w:t>
      </w:r>
      <w:r>
        <w:rPr>
          <w:color w:val="231F20"/>
          <w:sz w:val="24"/>
        </w:rPr>
        <w:t xml:space="preserve"> </w:t>
      </w:r>
      <w:r w:rsidRPr="005015A1">
        <w:rPr>
          <w:color w:val="231F20"/>
          <w:sz w:val="24"/>
        </w:rPr>
        <w:t>Any condition not described in the Indications for Use.</w:t>
      </w:r>
    </w:p>
    <w:p w:rsidR="00B7229C" w:rsidRDefault="005015A1" w:rsidP="005015A1">
      <w:pPr>
        <w:spacing w:line="304" w:lineRule="exact"/>
        <w:ind w:left="144"/>
        <w:rPr>
          <w:sz w:val="24"/>
        </w:rPr>
        <w:sectPr w:rsidR="00B7229C">
          <w:type w:val="continuous"/>
          <w:pgSz w:w="12240" w:h="15840"/>
          <w:pgMar w:top="860" w:right="620" w:bottom="280" w:left="600" w:header="720" w:footer="720" w:gutter="0"/>
          <w:cols w:space="720"/>
        </w:sectPr>
      </w:pPr>
      <w:r w:rsidRPr="005015A1">
        <w:rPr>
          <w:color w:val="231F20"/>
          <w:sz w:val="24"/>
        </w:rPr>
        <w:t>4.</w:t>
      </w:r>
      <w:r>
        <w:rPr>
          <w:color w:val="231F20"/>
          <w:sz w:val="24"/>
        </w:rPr>
        <w:t xml:space="preserve"> </w:t>
      </w:r>
      <w:r w:rsidRPr="005015A1">
        <w:rPr>
          <w:color w:val="231F20"/>
          <w:sz w:val="24"/>
        </w:rPr>
        <w:t>Prior fusion at the level(s) to be treated.</w:t>
      </w:r>
    </w:p>
    <w:p w:rsidR="00B7229C" w:rsidRDefault="00CD566E">
      <w:pPr>
        <w:pStyle w:val="Heading1"/>
      </w:pPr>
      <w:r>
        <w:rPr>
          <w:color w:val="231F20"/>
        </w:rPr>
        <w:lastRenderedPageBreak/>
        <w:t>WARNINGS AND PRECAUTIONS</w:t>
      </w:r>
    </w:p>
    <w:p w:rsidR="00B7229C" w:rsidRDefault="00CD566E">
      <w:pPr>
        <w:pStyle w:val="ListParagraph"/>
        <w:numPr>
          <w:ilvl w:val="0"/>
          <w:numId w:val="4"/>
        </w:numPr>
        <w:tabs>
          <w:tab w:val="left" w:pos="329"/>
        </w:tabs>
        <w:spacing w:before="10" w:line="216" w:lineRule="auto"/>
        <w:ind w:right="645" w:firstLine="0"/>
        <w:rPr>
          <w:sz w:val="24"/>
        </w:rPr>
      </w:pPr>
      <w:r>
        <w:rPr>
          <w:color w:val="231F20"/>
          <w:sz w:val="24"/>
        </w:rPr>
        <w:t>Mixing</w:t>
      </w:r>
      <w:r>
        <w:rPr>
          <w:color w:val="231F20"/>
          <w:spacing w:val="-5"/>
          <w:sz w:val="24"/>
        </w:rPr>
        <w:t xml:space="preserve"> </w:t>
      </w:r>
      <w:r>
        <w:rPr>
          <w:color w:val="231F20"/>
          <w:spacing w:val="-4"/>
          <w:sz w:val="24"/>
        </w:rPr>
        <w:t xml:space="preserve">of </w:t>
      </w:r>
      <w:r>
        <w:rPr>
          <w:color w:val="231F20"/>
          <w:sz w:val="24"/>
        </w:rPr>
        <w:t>dissimilar</w:t>
      </w:r>
      <w:r>
        <w:rPr>
          <w:color w:val="231F20"/>
          <w:spacing w:val="-5"/>
          <w:sz w:val="24"/>
        </w:rPr>
        <w:t xml:space="preserve"> </w:t>
      </w:r>
      <w:r>
        <w:rPr>
          <w:color w:val="231F20"/>
          <w:sz w:val="24"/>
        </w:rPr>
        <w:t>metals</w:t>
      </w:r>
      <w:r>
        <w:rPr>
          <w:color w:val="231F20"/>
          <w:spacing w:val="-5"/>
          <w:sz w:val="24"/>
        </w:rPr>
        <w:t xml:space="preserve"> </w:t>
      </w:r>
      <w:r>
        <w:rPr>
          <w:color w:val="231F20"/>
          <w:sz w:val="24"/>
        </w:rPr>
        <w:t>can</w:t>
      </w:r>
      <w:r>
        <w:rPr>
          <w:color w:val="231F20"/>
          <w:spacing w:val="-4"/>
          <w:sz w:val="24"/>
        </w:rPr>
        <w:t xml:space="preserve"> </w:t>
      </w:r>
      <w:r>
        <w:rPr>
          <w:color w:val="231F20"/>
          <w:sz w:val="24"/>
        </w:rPr>
        <w:t>accelerate</w:t>
      </w:r>
      <w:r>
        <w:rPr>
          <w:color w:val="231F20"/>
          <w:spacing w:val="-5"/>
          <w:sz w:val="24"/>
        </w:rPr>
        <w:t xml:space="preserve"> </w:t>
      </w:r>
      <w:r>
        <w:rPr>
          <w:color w:val="231F20"/>
          <w:sz w:val="24"/>
        </w:rPr>
        <w:t>the</w:t>
      </w:r>
      <w:r>
        <w:rPr>
          <w:color w:val="231F20"/>
          <w:spacing w:val="-4"/>
          <w:sz w:val="24"/>
        </w:rPr>
        <w:t xml:space="preserve"> </w:t>
      </w:r>
      <w:r>
        <w:rPr>
          <w:color w:val="231F20"/>
          <w:sz w:val="24"/>
        </w:rPr>
        <w:t>corrosion</w:t>
      </w:r>
      <w:r>
        <w:rPr>
          <w:color w:val="231F20"/>
          <w:spacing w:val="-5"/>
          <w:sz w:val="24"/>
        </w:rPr>
        <w:t xml:space="preserve"> </w:t>
      </w:r>
      <w:r>
        <w:rPr>
          <w:color w:val="231F20"/>
          <w:sz w:val="24"/>
        </w:rPr>
        <w:t>process.</w:t>
      </w:r>
      <w:r>
        <w:rPr>
          <w:color w:val="231F20"/>
          <w:spacing w:val="-4"/>
          <w:sz w:val="24"/>
        </w:rPr>
        <w:t xml:space="preserve"> </w:t>
      </w:r>
      <w:r>
        <w:rPr>
          <w:color w:val="231F20"/>
          <w:sz w:val="24"/>
        </w:rPr>
        <w:t>Stainless</w:t>
      </w:r>
      <w:r>
        <w:rPr>
          <w:color w:val="231F20"/>
          <w:spacing w:val="-5"/>
          <w:sz w:val="24"/>
        </w:rPr>
        <w:t xml:space="preserve"> </w:t>
      </w:r>
      <w:r>
        <w:rPr>
          <w:color w:val="231F20"/>
          <w:sz w:val="24"/>
        </w:rPr>
        <w:t>steel</w:t>
      </w:r>
      <w:r>
        <w:rPr>
          <w:color w:val="231F20"/>
          <w:spacing w:val="-5"/>
          <w:sz w:val="24"/>
        </w:rPr>
        <w:t xml:space="preserve"> </w:t>
      </w:r>
      <w:r>
        <w:rPr>
          <w:color w:val="231F20"/>
          <w:sz w:val="24"/>
        </w:rPr>
        <w:t>and</w:t>
      </w:r>
      <w:r>
        <w:rPr>
          <w:color w:val="231F20"/>
          <w:spacing w:val="-5"/>
          <w:sz w:val="24"/>
        </w:rPr>
        <w:t xml:space="preserve"> </w:t>
      </w:r>
      <w:r>
        <w:rPr>
          <w:color w:val="231F20"/>
          <w:sz w:val="24"/>
        </w:rPr>
        <w:t>titanium</w:t>
      </w:r>
      <w:r>
        <w:rPr>
          <w:color w:val="231F20"/>
          <w:spacing w:val="-5"/>
          <w:sz w:val="24"/>
        </w:rPr>
        <w:t xml:space="preserve"> </w:t>
      </w:r>
      <w:r>
        <w:rPr>
          <w:color w:val="231F20"/>
          <w:sz w:val="24"/>
        </w:rPr>
        <w:t xml:space="preserve">implants must </w:t>
      </w:r>
      <w:r>
        <w:rPr>
          <w:color w:val="231F20"/>
          <w:spacing w:val="-6"/>
          <w:sz w:val="24"/>
        </w:rPr>
        <w:t xml:space="preserve">NOT </w:t>
      </w:r>
      <w:r>
        <w:rPr>
          <w:color w:val="231F20"/>
          <w:sz w:val="24"/>
        </w:rPr>
        <w:t>be used together in building a</w:t>
      </w:r>
      <w:r>
        <w:rPr>
          <w:color w:val="231F20"/>
          <w:spacing w:val="-2"/>
          <w:sz w:val="24"/>
        </w:rPr>
        <w:t xml:space="preserve"> </w:t>
      </w:r>
      <w:r>
        <w:rPr>
          <w:color w:val="231F20"/>
          <w:sz w:val="24"/>
        </w:rPr>
        <w:t>construct.</w:t>
      </w:r>
    </w:p>
    <w:p w:rsidR="00B7229C" w:rsidRDefault="00CD566E">
      <w:pPr>
        <w:pStyle w:val="ListParagraph"/>
        <w:numPr>
          <w:ilvl w:val="0"/>
          <w:numId w:val="4"/>
        </w:numPr>
        <w:tabs>
          <w:tab w:val="left" w:pos="367"/>
        </w:tabs>
        <w:spacing w:before="1" w:line="216" w:lineRule="auto"/>
        <w:ind w:right="246" w:firstLine="0"/>
        <w:rPr>
          <w:sz w:val="24"/>
        </w:rPr>
      </w:pPr>
      <w:r>
        <w:rPr>
          <w:color w:val="231F20"/>
          <w:sz w:val="24"/>
        </w:rPr>
        <w:t xml:space="preserve">The NEXXT </w:t>
      </w:r>
      <w:r>
        <w:rPr>
          <w:color w:val="231F20"/>
          <w:spacing w:val="-4"/>
          <w:sz w:val="24"/>
        </w:rPr>
        <w:t>MATRIXX</w:t>
      </w:r>
      <w:r>
        <w:rPr>
          <w:color w:val="231F20"/>
          <w:spacing w:val="-4"/>
          <w:position w:val="8"/>
          <w:sz w:val="14"/>
        </w:rPr>
        <w:t xml:space="preserve">® </w:t>
      </w:r>
      <w:r>
        <w:rPr>
          <w:color w:val="231F20"/>
          <w:sz w:val="24"/>
        </w:rPr>
        <w:t xml:space="preserve">Stand Alone Cervical </w:t>
      </w:r>
      <w:r w:rsidR="005015A1">
        <w:rPr>
          <w:color w:val="231F20"/>
          <w:sz w:val="24"/>
        </w:rPr>
        <w:t xml:space="preserve">– TL </w:t>
      </w:r>
      <w:r>
        <w:rPr>
          <w:color w:val="231F20"/>
          <w:sz w:val="24"/>
        </w:rPr>
        <w:t xml:space="preserve">System devices should be implanted only by surgeons who are fully experienced in the use </w:t>
      </w:r>
      <w:r>
        <w:rPr>
          <w:color w:val="231F20"/>
          <w:spacing w:val="-4"/>
          <w:sz w:val="24"/>
        </w:rPr>
        <w:t xml:space="preserve">of </w:t>
      </w:r>
      <w:r>
        <w:rPr>
          <w:color w:val="231F20"/>
          <w:sz w:val="24"/>
        </w:rPr>
        <w:t>such implants and the required specialized spinal surgery techniques. Prior</w:t>
      </w:r>
      <w:r>
        <w:rPr>
          <w:color w:val="231F20"/>
          <w:spacing w:val="-4"/>
          <w:sz w:val="24"/>
        </w:rPr>
        <w:t xml:space="preserve"> </w:t>
      </w:r>
      <w:r>
        <w:rPr>
          <w:color w:val="231F20"/>
          <w:sz w:val="24"/>
        </w:rPr>
        <w:t>to</w:t>
      </w:r>
      <w:r>
        <w:rPr>
          <w:color w:val="231F20"/>
          <w:spacing w:val="-3"/>
          <w:sz w:val="24"/>
        </w:rPr>
        <w:t xml:space="preserve"> </w:t>
      </w:r>
      <w:r>
        <w:rPr>
          <w:color w:val="231F20"/>
          <w:sz w:val="24"/>
        </w:rPr>
        <w:t>use,</w:t>
      </w:r>
      <w:r>
        <w:rPr>
          <w:color w:val="231F20"/>
          <w:spacing w:val="-5"/>
          <w:sz w:val="24"/>
        </w:rPr>
        <w:t xml:space="preserve"> </w:t>
      </w:r>
      <w:r>
        <w:rPr>
          <w:color w:val="231F20"/>
          <w:sz w:val="24"/>
        </w:rPr>
        <w:t>surgeons</w:t>
      </w:r>
      <w:r>
        <w:rPr>
          <w:color w:val="231F20"/>
          <w:spacing w:val="-4"/>
          <w:sz w:val="24"/>
        </w:rPr>
        <w:t xml:space="preserve"> </w:t>
      </w:r>
      <w:r>
        <w:rPr>
          <w:color w:val="231F20"/>
          <w:sz w:val="24"/>
        </w:rPr>
        <w:t>should</w:t>
      </w:r>
      <w:r>
        <w:rPr>
          <w:color w:val="231F20"/>
          <w:spacing w:val="-5"/>
          <w:sz w:val="24"/>
        </w:rPr>
        <w:t xml:space="preserve"> </w:t>
      </w:r>
      <w:r>
        <w:rPr>
          <w:color w:val="231F20"/>
          <w:sz w:val="24"/>
        </w:rPr>
        <w:t>be</w:t>
      </w:r>
      <w:r>
        <w:rPr>
          <w:color w:val="231F20"/>
          <w:spacing w:val="-4"/>
          <w:sz w:val="24"/>
        </w:rPr>
        <w:t xml:space="preserve"> </w:t>
      </w:r>
      <w:r>
        <w:rPr>
          <w:color w:val="231F20"/>
          <w:sz w:val="24"/>
        </w:rPr>
        <w:t>trained</w:t>
      </w:r>
      <w:r>
        <w:rPr>
          <w:color w:val="231F20"/>
          <w:spacing w:val="-3"/>
          <w:sz w:val="24"/>
        </w:rPr>
        <w:t xml:space="preserve"> </w:t>
      </w:r>
      <w:r>
        <w:rPr>
          <w:color w:val="231F20"/>
          <w:sz w:val="24"/>
        </w:rPr>
        <w:t>in</w:t>
      </w:r>
      <w:r>
        <w:rPr>
          <w:color w:val="231F20"/>
          <w:spacing w:val="-5"/>
          <w:sz w:val="24"/>
        </w:rPr>
        <w:t xml:space="preserve"> </w:t>
      </w:r>
      <w:r>
        <w:rPr>
          <w:color w:val="231F20"/>
          <w:sz w:val="24"/>
        </w:rPr>
        <w:t>the</w:t>
      </w:r>
      <w:r>
        <w:rPr>
          <w:color w:val="231F20"/>
          <w:spacing w:val="-3"/>
          <w:sz w:val="24"/>
        </w:rPr>
        <w:t xml:space="preserve"> </w:t>
      </w:r>
      <w:r>
        <w:rPr>
          <w:color w:val="231F20"/>
          <w:sz w:val="24"/>
        </w:rPr>
        <w:t>surgical</w:t>
      </w:r>
      <w:r>
        <w:rPr>
          <w:color w:val="231F20"/>
          <w:spacing w:val="-5"/>
          <w:sz w:val="24"/>
        </w:rPr>
        <w:t xml:space="preserve"> </w:t>
      </w:r>
      <w:r>
        <w:rPr>
          <w:color w:val="231F20"/>
          <w:sz w:val="24"/>
        </w:rPr>
        <w:t>procedures</w:t>
      </w:r>
      <w:r>
        <w:rPr>
          <w:color w:val="231F20"/>
          <w:spacing w:val="-3"/>
          <w:sz w:val="24"/>
        </w:rPr>
        <w:t xml:space="preserve"> </w:t>
      </w:r>
      <w:r>
        <w:rPr>
          <w:color w:val="231F20"/>
          <w:sz w:val="24"/>
        </w:rPr>
        <w:t>recommended</w:t>
      </w:r>
      <w:r>
        <w:rPr>
          <w:color w:val="231F20"/>
          <w:spacing w:val="-3"/>
          <w:sz w:val="24"/>
        </w:rPr>
        <w:t xml:space="preserve"> </w:t>
      </w:r>
      <w:r>
        <w:rPr>
          <w:color w:val="231F20"/>
          <w:sz w:val="24"/>
        </w:rPr>
        <w:t>for</w:t>
      </w:r>
      <w:r>
        <w:rPr>
          <w:color w:val="231F20"/>
          <w:spacing w:val="-4"/>
          <w:sz w:val="24"/>
        </w:rPr>
        <w:t xml:space="preserve"> </w:t>
      </w:r>
      <w:r>
        <w:rPr>
          <w:color w:val="231F20"/>
          <w:sz w:val="24"/>
        </w:rPr>
        <w:t>use</w:t>
      </w:r>
      <w:r>
        <w:rPr>
          <w:color w:val="231F20"/>
          <w:spacing w:val="-4"/>
          <w:sz w:val="24"/>
        </w:rPr>
        <w:t xml:space="preserve"> of </w:t>
      </w:r>
      <w:r>
        <w:rPr>
          <w:color w:val="231F20"/>
          <w:sz w:val="24"/>
        </w:rPr>
        <w:t>these</w:t>
      </w:r>
      <w:r>
        <w:rPr>
          <w:color w:val="231F20"/>
          <w:spacing w:val="-3"/>
          <w:sz w:val="24"/>
        </w:rPr>
        <w:t xml:space="preserve"> </w:t>
      </w:r>
      <w:r>
        <w:rPr>
          <w:color w:val="231F20"/>
          <w:sz w:val="24"/>
        </w:rPr>
        <w:t>devices.</w:t>
      </w:r>
    </w:p>
    <w:p w:rsidR="00B7229C" w:rsidRDefault="00CD566E">
      <w:pPr>
        <w:pStyle w:val="ListParagraph"/>
        <w:numPr>
          <w:ilvl w:val="0"/>
          <w:numId w:val="4"/>
        </w:numPr>
        <w:tabs>
          <w:tab w:val="left" w:pos="367"/>
        </w:tabs>
        <w:spacing w:line="216" w:lineRule="auto"/>
        <w:ind w:right="313" w:firstLine="0"/>
        <w:rPr>
          <w:sz w:val="24"/>
        </w:rPr>
      </w:pPr>
      <w:r>
        <w:rPr>
          <w:color w:val="231F20"/>
          <w:sz w:val="24"/>
        </w:rPr>
        <w:t xml:space="preserve">The correct selection </w:t>
      </w:r>
      <w:r>
        <w:rPr>
          <w:color w:val="231F20"/>
          <w:spacing w:val="-4"/>
          <w:sz w:val="24"/>
        </w:rPr>
        <w:t xml:space="preserve">of </w:t>
      </w:r>
      <w:r>
        <w:rPr>
          <w:color w:val="231F20"/>
          <w:sz w:val="24"/>
        </w:rPr>
        <w:t xml:space="preserve">the implant is extremely important. The potential for success is increased by the selection </w:t>
      </w:r>
      <w:r>
        <w:rPr>
          <w:color w:val="231F20"/>
          <w:spacing w:val="-4"/>
          <w:sz w:val="24"/>
        </w:rPr>
        <w:t xml:space="preserve">of </w:t>
      </w:r>
      <w:r>
        <w:rPr>
          <w:color w:val="231F20"/>
          <w:sz w:val="24"/>
        </w:rPr>
        <w:t xml:space="preserve">the proper size, shape and design </w:t>
      </w:r>
      <w:r>
        <w:rPr>
          <w:color w:val="231F20"/>
          <w:spacing w:val="-4"/>
          <w:sz w:val="24"/>
        </w:rPr>
        <w:t xml:space="preserve">of </w:t>
      </w:r>
      <w:r>
        <w:rPr>
          <w:color w:val="231F20"/>
          <w:sz w:val="24"/>
        </w:rPr>
        <w:t xml:space="preserve">the implant. Based on the dynamic testing results, the physician should consider the levels </w:t>
      </w:r>
      <w:r>
        <w:rPr>
          <w:color w:val="231F20"/>
          <w:spacing w:val="-4"/>
          <w:sz w:val="24"/>
        </w:rPr>
        <w:t xml:space="preserve">of </w:t>
      </w:r>
      <w:r>
        <w:rPr>
          <w:color w:val="231F20"/>
          <w:sz w:val="24"/>
        </w:rPr>
        <w:t xml:space="preserve">implantation, patient weight, patient activity level, other patient conditions, etc., which may impact on the performance </w:t>
      </w:r>
      <w:r>
        <w:rPr>
          <w:color w:val="231F20"/>
          <w:spacing w:val="-4"/>
          <w:sz w:val="24"/>
        </w:rPr>
        <w:t xml:space="preserve">of </w:t>
      </w:r>
      <w:r>
        <w:rPr>
          <w:color w:val="231F20"/>
          <w:sz w:val="24"/>
        </w:rPr>
        <w:t>the</w:t>
      </w:r>
      <w:r>
        <w:rPr>
          <w:color w:val="231F20"/>
          <w:spacing w:val="1"/>
          <w:sz w:val="24"/>
        </w:rPr>
        <w:t xml:space="preserve"> </w:t>
      </w:r>
      <w:r>
        <w:rPr>
          <w:color w:val="231F20"/>
          <w:sz w:val="24"/>
        </w:rPr>
        <w:t>device.</w:t>
      </w:r>
    </w:p>
    <w:p w:rsidR="00B7229C" w:rsidRDefault="00CD566E">
      <w:pPr>
        <w:pStyle w:val="ListParagraph"/>
        <w:numPr>
          <w:ilvl w:val="0"/>
          <w:numId w:val="4"/>
        </w:numPr>
        <w:tabs>
          <w:tab w:val="left" w:pos="371"/>
        </w:tabs>
        <w:spacing w:before="3" w:line="216" w:lineRule="auto"/>
        <w:ind w:right="1099" w:firstLine="0"/>
        <w:rPr>
          <w:sz w:val="24"/>
        </w:rPr>
      </w:pPr>
      <w:r>
        <w:rPr>
          <w:color w:val="231F20"/>
          <w:sz w:val="24"/>
        </w:rPr>
        <w:t>These</w:t>
      </w:r>
      <w:r>
        <w:rPr>
          <w:color w:val="231F20"/>
          <w:spacing w:val="-5"/>
          <w:sz w:val="24"/>
        </w:rPr>
        <w:t xml:space="preserve"> </w:t>
      </w:r>
      <w:r>
        <w:rPr>
          <w:color w:val="231F20"/>
          <w:sz w:val="24"/>
        </w:rPr>
        <w:t>devices</w:t>
      </w:r>
      <w:r>
        <w:rPr>
          <w:color w:val="231F20"/>
          <w:spacing w:val="-5"/>
          <w:sz w:val="24"/>
        </w:rPr>
        <w:t xml:space="preserve"> </w:t>
      </w:r>
      <w:r>
        <w:rPr>
          <w:color w:val="231F20"/>
          <w:sz w:val="24"/>
        </w:rPr>
        <w:t>are</w:t>
      </w:r>
      <w:r>
        <w:rPr>
          <w:color w:val="231F20"/>
          <w:spacing w:val="-4"/>
          <w:sz w:val="24"/>
        </w:rPr>
        <w:t xml:space="preserve"> </w:t>
      </w:r>
      <w:r>
        <w:rPr>
          <w:color w:val="231F20"/>
          <w:sz w:val="24"/>
        </w:rPr>
        <w:t>provided</w:t>
      </w:r>
      <w:r>
        <w:rPr>
          <w:color w:val="231F20"/>
          <w:spacing w:val="-4"/>
          <w:sz w:val="24"/>
        </w:rPr>
        <w:t xml:space="preserve"> </w:t>
      </w:r>
      <w:r>
        <w:rPr>
          <w:color w:val="231F20"/>
          <w:sz w:val="24"/>
        </w:rPr>
        <w:t>as</w:t>
      </w:r>
      <w:r>
        <w:rPr>
          <w:color w:val="231F20"/>
          <w:spacing w:val="-5"/>
          <w:sz w:val="24"/>
        </w:rPr>
        <w:t xml:space="preserve"> </w:t>
      </w:r>
      <w:r>
        <w:rPr>
          <w:color w:val="231F20"/>
          <w:sz w:val="24"/>
        </w:rPr>
        <w:t>single</w:t>
      </w:r>
      <w:r>
        <w:rPr>
          <w:color w:val="231F20"/>
          <w:spacing w:val="-5"/>
          <w:sz w:val="24"/>
        </w:rPr>
        <w:t xml:space="preserve"> </w:t>
      </w:r>
      <w:r>
        <w:rPr>
          <w:color w:val="231F20"/>
          <w:sz w:val="24"/>
        </w:rPr>
        <w:t>use</w:t>
      </w:r>
      <w:r>
        <w:rPr>
          <w:color w:val="231F20"/>
          <w:spacing w:val="-5"/>
          <w:sz w:val="24"/>
        </w:rPr>
        <w:t xml:space="preserve"> </w:t>
      </w:r>
      <w:r>
        <w:rPr>
          <w:color w:val="231F20"/>
          <w:sz w:val="24"/>
        </w:rPr>
        <w:t>only</w:t>
      </w:r>
      <w:r>
        <w:rPr>
          <w:color w:val="231F20"/>
          <w:spacing w:val="-4"/>
          <w:sz w:val="24"/>
        </w:rPr>
        <w:t xml:space="preserve"> </w:t>
      </w:r>
      <w:r>
        <w:rPr>
          <w:color w:val="231F20"/>
          <w:sz w:val="24"/>
        </w:rPr>
        <w:t>implants</w:t>
      </w:r>
      <w:r>
        <w:rPr>
          <w:color w:val="231F20"/>
          <w:spacing w:val="-5"/>
          <w:sz w:val="24"/>
        </w:rPr>
        <w:t xml:space="preserve"> </w:t>
      </w:r>
      <w:r>
        <w:rPr>
          <w:color w:val="231F20"/>
          <w:sz w:val="24"/>
        </w:rPr>
        <w:t>and</w:t>
      </w:r>
      <w:r>
        <w:rPr>
          <w:color w:val="231F20"/>
          <w:spacing w:val="-5"/>
          <w:sz w:val="24"/>
        </w:rPr>
        <w:t xml:space="preserve"> </w:t>
      </w:r>
      <w:r>
        <w:rPr>
          <w:color w:val="231F20"/>
          <w:sz w:val="24"/>
        </w:rPr>
        <w:t>are</w:t>
      </w:r>
      <w:r>
        <w:rPr>
          <w:color w:val="231F20"/>
          <w:spacing w:val="-4"/>
          <w:sz w:val="24"/>
        </w:rPr>
        <w:t xml:space="preserve"> </w:t>
      </w:r>
      <w:r>
        <w:rPr>
          <w:color w:val="231F20"/>
          <w:sz w:val="24"/>
        </w:rPr>
        <w:t>not</w:t>
      </w:r>
      <w:r>
        <w:rPr>
          <w:color w:val="231F20"/>
          <w:spacing w:val="-5"/>
          <w:sz w:val="24"/>
        </w:rPr>
        <w:t xml:space="preserve"> </w:t>
      </w:r>
      <w:r>
        <w:rPr>
          <w:color w:val="231F20"/>
          <w:sz w:val="24"/>
        </w:rPr>
        <w:t>to</w:t>
      </w:r>
      <w:r>
        <w:rPr>
          <w:color w:val="231F20"/>
          <w:spacing w:val="-4"/>
          <w:sz w:val="24"/>
        </w:rPr>
        <w:t xml:space="preserve"> </w:t>
      </w:r>
      <w:r>
        <w:rPr>
          <w:color w:val="231F20"/>
          <w:sz w:val="24"/>
        </w:rPr>
        <w:t>be</w:t>
      </w:r>
      <w:r>
        <w:rPr>
          <w:color w:val="231F20"/>
          <w:spacing w:val="-5"/>
          <w:sz w:val="24"/>
        </w:rPr>
        <w:t xml:space="preserve"> </w:t>
      </w:r>
      <w:r>
        <w:rPr>
          <w:color w:val="231F20"/>
          <w:sz w:val="24"/>
        </w:rPr>
        <w:t>reused</w:t>
      </w:r>
      <w:r>
        <w:rPr>
          <w:color w:val="231F20"/>
          <w:spacing w:val="-4"/>
          <w:sz w:val="24"/>
        </w:rPr>
        <w:t xml:space="preserve"> </w:t>
      </w:r>
      <w:r>
        <w:rPr>
          <w:color w:val="231F20"/>
          <w:sz w:val="24"/>
        </w:rPr>
        <w:t>or</w:t>
      </w:r>
      <w:r>
        <w:rPr>
          <w:color w:val="231F20"/>
          <w:spacing w:val="-4"/>
          <w:sz w:val="24"/>
        </w:rPr>
        <w:t xml:space="preserve"> </w:t>
      </w:r>
      <w:r>
        <w:rPr>
          <w:color w:val="231F20"/>
          <w:sz w:val="24"/>
        </w:rPr>
        <w:t xml:space="preserve">reimplanted regardless </w:t>
      </w:r>
      <w:r>
        <w:rPr>
          <w:color w:val="231F20"/>
          <w:spacing w:val="-4"/>
          <w:sz w:val="24"/>
        </w:rPr>
        <w:t xml:space="preserve">of </w:t>
      </w:r>
      <w:r>
        <w:rPr>
          <w:color w:val="231F20"/>
          <w:sz w:val="24"/>
        </w:rPr>
        <w:t>an apparent undamaged</w:t>
      </w:r>
      <w:r>
        <w:rPr>
          <w:color w:val="231F20"/>
          <w:spacing w:val="-1"/>
          <w:sz w:val="24"/>
        </w:rPr>
        <w:t xml:space="preserve"> </w:t>
      </w:r>
      <w:r>
        <w:rPr>
          <w:color w:val="231F20"/>
          <w:sz w:val="24"/>
        </w:rPr>
        <w:t>condition.</w:t>
      </w:r>
    </w:p>
    <w:p w:rsidR="00B7229C" w:rsidRDefault="00CD566E">
      <w:pPr>
        <w:pStyle w:val="ListParagraph"/>
        <w:numPr>
          <w:ilvl w:val="0"/>
          <w:numId w:val="4"/>
        </w:numPr>
        <w:tabs>
          <w:tab w:val="left" w:pos="367"/>
        </w:tabs>
        <w:spacing w:line="216" w:lineRule="auto"/>
        <w:ind w:right="361" w:firstLine="0"/>
        <w:rPr>
          <w:sz w:val="24"/>
        </w:rPr>
      </w:pPr>
      <w:r>
        <w:rPr>
          <w:color w:val="231F20"/>
          <w:sz w:val="24"/>
        </w:rPr>
        <w:t xml:space="preserve">The NEXXT </w:t>
      </w:r>
      <w:r>
        <w:rPr>
          <w:color w:val="231F20"/>
          <w:spacing w:val="-4"/>
          <w:sz w:val="24"/>
        </w:rPr>
        <w:t>MATRIXX</w:t>
      </w:r>
      <w:r>
        <w:rPr>
          <w:color w:val="231F20"/>
          <w:spacing w:val="-4"/>
          <w:position w:val="8"/>
          <w:sz w:val="14"/>
        </w:rPr>
        <w:t xml:space="preserve">® </w:t>
      </w:r>
      <w:r>
        <w:rPr>
          <w:color w:val="231F20"/>
          <w:sz w:val="24"/>
        </w:rPr>
        <w:t xml:space="preserve">Stand Alone Cervical </w:t>
      </w:r>
      <w:r w:rsidR="005015A1">
        <w:rPr>
          <w:color w:val="231F20"/>
          <w:sz w:val="24"/>
        </w:rPr>
        <w:t xml:space="preserve">-TL </w:t>
      </w:r>
      <w:r>
        <w:rPr>
          <w:color w:val="231F20"/>
          <w:sz w:val="24"/>
        </w:rPr>
        <w:t xml:space="preserve">System is used to augment the development </w:t>
      </w:r>
      <w:r>
        <w:rPr>
          <w:color w:val="231F20"/>
          <w:spacing w:val="-4"/>
          <w:sz w:val="24"/>
        </w:rPr>
        <w:t xml:space="preserve">of </w:t>
      </w:r>
      <w:r>
        <w:rPr>
          <w:color w:val="231F20"/>
          <w:sz w:val="24"/>
        </w:rPr>
        <w:t xml:space="preserve">a spinal fusion by providing temporary stabilization. If fusion is delayed or does not </w:t>
      </w:r>
      <w:r>
        <w:rPr>
          <w:color w:val="231F20"/>
          <w:spacing w:val="-5"/>
          <w:sz w:val="24"/>
        </w:rPr>
        <w:t xml:space="preserve">occur, </w:t>
      </w:r>
      <w:r>
        <w:rPr>
          <w:color w:val="231F20"/>
          <w:sz w:val="24"/>
        </w:rPr>
        <w:t xml:space="preserve">material fatigue may cause breakage </w:t>
      </w:r>
      <w:r>
        <w:rPr>
          <w:color w:val="231F20"/>
          <w:spacing w:val="-4"/>
          <w:sz w:val="24"/>
        </w:rPr>
        <w:t xml:space="preserve">of </w:t>
      </w:r>
      <w:r>
        <w:rPr>
          <w:color w:val="231F20"/>
          <w:sz w:val="24"/>
        </w:rPr>
        <w:t xml:space="preserve">the implant. Damage to the implant during surgery (i.e., scratches, notches) and loads from weight bearing and activity will affect the </w:t>
      </w:r>
      <w:r>
        <w:rPr>
          <w:color w:val="231F20"/>
          <w:spacing w:val="-4"/>
          <w:sz w:val="24"/>
        </w:rPr>
        <w:t>implant’s</w:t>
      </w:r>
      <w:r>
        <w:rPr>
          <w:color w:val="231F20"/>
          <w:spacing w:val="-7"/>
          <w:sz w:val="24"/>
        </w:rPr>
        <w:t xml:space="preserve"> </w:t>
      </w:r>
      <w:r>
        <w:rPr>
          <w:color w:val="231F20"/>
          <w:spacing w:val="-4"/>
          <w:sz w:val="24"/>
        </w:rPr>
        <w:t>longevity.</w:t>
      </w:r>
    </w:p>
    <w:p w:rsidR="00B7229C" w:rsidRDefault="00CD566E">
      <w:pPr>
        <w:pStyle w:val="ListParagraph"/>
        <w:numPr>
          <w:ilvl w:val="0"/>
          <w:numId w:val="4"/>
        </w:numPr>
        <w:tabs>
          <w:tab w:val="left" w:pos="367"/>
        </w:tabs>
        <w:spacing w:line="216" w:lineRule="auto"/>
        <w:ind w:right="288" w:firstLine="0"/>
        <w:rPr>
          <w:sz w:val="24"/>
        </w:rPr>
      </w:pPr>
      <w:r>
        <w:rPr>
          <w:color w:val="231F20"/>
          <w:sz w:val="24"/>
        </w:rPr>
        <w:t xml:space="preserve">The correct handling </w:t>
      </w:r>
      <w:r>
        <w:rPr>
          <w:color w:val="231F20"/>
          <w:spacing w:val="-4"/>
          <w:sz w:val="24"/>
        </w:rPr>
        <w:t xml:space="preserve">of </w:t>
      </w:r>
      <w:r>
        <w:rPr>
          <w:color w:val="231F20"/>
          <w:sz w:val="24"/>
        </w:rPr>
        <w:t xml:space="preserve">the implant is extremely important. Use care in handling and storage </w:t>
      </w:r>
      <w:r>
        <w:rPr>
          <w:color w:val="231F20"/>
          <w:spacing w:val="-4"/>
          <w:sz w:val="24"/>
        </w:rPr>
        <w:t xml:space="preserve">of </w:t>
      </w:r>
      <w:r>
        <w:rPr>
          <w:color w:val="231F20"/>
          <w:sz w:val="24"/>
        </w:rPr>
        <w:t xml:space="preserve">devices. Store the devices in a clean, </w:t>
      </w:r>
      <w:r>
        <w:rPr>
          <w:color w:val="231F20"/>
          <w:spacing w:val="4"/>
          <w:sz w:val="24"/>
        </w:rPr>
        <w:t xml:space="preserve">dry </w:t>
      </w:r>
      <w:r>
        <w:rPr>
          <w:color w:val="231F20"/>
          <w:sz w:val="24"/>
        </w:rPr>
        <w:t xml:space="preserve">area away from radiation and extreme temperatures and corrosive environments such as moisture, </w:t>
      </w:r>
      <w:r>
        <w:rPr>
          <w:color w:val="231F20"/>
          <w:spacing w:val="-8"/>
          <w:sz w:val="24"/>
        </w:rPr>
        <w:t>air,</w:t>
      </w:r>
      <w:r>
        <w:rPr>
          <w:color w:val="231F20"/>
          <w:spacing w:val="-4"/>
          <w:sz w:val="24"/>
        </w:rPr>
        <w:t xml:space="preserve"> </w:t>
      </w:r>
      <w:r>
        <w:rPr>
          <w:color w:val="231F20"/>
          <w:sz w:val="24"/>
        </w:rPr>
        <w:t>etc.</w:t>
      </w:r>
    </w:p>
    <w:p w:rsidR="00B7229C" w:rsidRDefault="00CD566E">
      <w:pPr>
        <w:pStyle w:val="ListParagraph"/>
        <w:numPr>
          <w:ilvl w:val="0"/>
          <w:numId w:val="4"/>
        </w:numPr>
        <w:tabs>
          <w:tab w:val="left" w:pos="363"/>
        </w:tabs>
        <w:spacing w:before="3" w:line="216" w:lineRule="auto"/>
        <w:ind w:right="572" w:firstLine="0"/>
        <w:rPr>
          <w:sz w:val="24"/>
        </w:rPr>
      </w:pPr>
      <w:r>
        <w:rPr>
          <w:color w:val="231F20"/>
          <w:spacing w:val="-3"/>
          <w:sz w:val="24"/>
        </w:rPr>
        <w:t xml:space="preserve">Patients </w:t>
      </w:r>
      <w:r>
        <w:rPr>
          <w:color w:val="231F20"/>
          <w:sz w:val="24"/>
        </w:rPr>
        <w:t>with previous spinal surgery at the level(s) to be treated may have different clinical outcomes compared to those without a previous</w:t>
      </w:r>
      <w:r>
        <w:rPr>
          <w:color w:val="231F20"/>
          <w:spacing w:val="-2"/>
          <w:sz w:val="24"/>
        </w:rPr>
        <w:t xml:space="preserve"> </w:t>
      </w:r>
      <w:r>
        <w:rPr>
          <w:color w:val="231F20"/>
          <w:spacing w:val="-3"/>
          <w:sz w:val="24"/>
        </w:rPr>
        <w:t>surgery.</w:t>
      </w:r>
    </w:p>
    <w:p w:rsidR="00B7229C" w:rsidRDefault="00CD566E">
      <w:pPr>
        <w:pStyle w:val="ListParagraph"/>
        <w:numPr>
          <w:ilvl w:val="0"/>
          <w:numId w:val="4"/>
        </w:numPr>
        <w:tabs>
          <w:tab w:val="left" w:pos="367"/>
        </w:tabs>
        <w:spacing w:before="0" w:line="279" w:lineRule="exact"/>
        <w:ind w:left="366" w:hanging="243"/>
        <w:rPr>
          <w:sz w:val="24"/>
        </w:rPr>
      </w:pPr>
      <w:r>
        <w:rPr>
          <w:color w:val="231F20"/>
          <w:sz w:val="24"/>
        </w:rPr>
        <w:t xml:space="preserve">Components </w:t>
      </w:r>
      <w:r>
        <w:rPr>
          <w:color w:val="231F20"/>
          <w:spacing w:val="-4"/>
          <w:sz w:val="24"/>
        </w:rPr>
        <w:t xml:space="preserve">of </w:t>
      </w:r>
      <w:r>
        <w:rPr>
          <w:color w:val="231F20"/>
          <w:sz w:val="24"/>
        </w:rPr>
        <w:t xml:space="preserve">this system should not be used with components </w:t>
      </w:r>
      <w:r>
        <w:rPr>
          <w:color w:val="231F20"/>
          <w:spacing w:val="-4"/>
          <w:sz w:val="24"/>
        </w:rPr>
        <w:t xml:space="preserve">of </w:t>
      </w:r>
      <w:r>
        <w:rPr>
          <w:color w:val="231F20"/>
          <w:sz w:val="24"/>
        </w:rPr>
        <w:t>any other</w:t>
      </w:r>
      <w:r>
        <w:rPr>
          <w:color w:val="231F20"/>
          <w:spacing w:val="-9"/>
          <w:sz w:val="24"/>
        </w:rPr>
        <w:t xml:space="preserve"> </w:t>
      </w:r>
      <w:r>
        <w:rPr>
          <w:color w:val="231F20"/>
          <w:spacing w:val="-3"/>
          <w:sz w:val="24"/>
        </w:rPr>
        <w:t>manufacturer.</w:t>
      </w:r>
    </w:p>
    <w:p w:rsidR="00B7229C" w:rsidRDefault="00CD566E">
      <w:pPr>
        <w:pStyle w:val="ListParagraph"/>
        <w:numPr>
          <w:ilvl w:val="0"/>
          <w:numId w:val="4"/>
        </w:numPr>
        <w:tabs>
          <w:tab w:val="left" w:pos="367"/>
        </w:tabs>
        <w:spacing w:before="10" w:line="216" w:lineRule="auto"/>
        <w:ind w:right="217" w:firstLine="0"/>
        <w:rPr>
          <w:sz w:val="24"/>
        </w:rPr>
      </w:pPr>
      <w:r>
        <w:rPr>
          <w:color w:val="231F20"/>
          <w:spacing w:val="-3"/>
          <w:sz w:val="24"/>
        </w:rPr>
        <w:t xml:space="preserve">Potential </w:t>
      </w:r>
      <w:r>
        <w:rPr>
          <w:color w:val="231F20"/>
          <w:sz w:val="24"/>
        </w:rPr>
        <w:t xml:space="preserve">risks identified with the use </w:t>
      </w:r>
      <w:r>
        <w:rPr>
          <w:color w:val="231F20"/>
          <w:spacing w:val="-4"/>
          <w:sz w:val="24"/>
        </w:rPr>
        <w:t xml:space="preserve">of </w:t>
      </w:r>
      <w:r>
        <w:rPr>
          <w:color w:val="231F20"/>
          <w:sz w:val="24"/>
        </w:rPr>
        <w:t xml:space="preserve">this system, which may require additional surgery, include: device component breakage, loss </w:t>
      </w:r>
      <w:r>
        <w:rPr>
          <w:color w:val="231F20"/>
          <w:spacing w:val="-4"/>
          <w:sz w:val="24"/>
        </w:rPr>
        <w:t xml:space="preserve">of </w:t>
      </w:r>
      <w:r>
        <w:rPr>
          <w:color w:val="231F20"/>
          <w:sz w:val="24"/>
        </w:rPr>
        <w:t>fixation/loosening, non-union, vertebral fracture, neurologic, vascular or visceral</w:t>
      </w:r>
      <w:r>
        <w:rPr>
          <w:color w:val="231F20"/>
          <w:spacing w:val="-2"/>
          <w:sz w:val="24"/>
        </w:rPr>
        <w:t xml:space="preserve"> </w:t>
      </w:r>
      <w:r>
        <w:rPr>
          <w:color w:val="231F20"/>
          <w:sz w:val="24"/>
        </w:rPr>
        <w:t>injury.</w:t>
      </w:r>
    </w:p>
    <w:p w:rsidR="00B7229C" w:rsidRDefault="00CD566E">
      <w:pPr>
        <w:pStyle w:val="Heading1"/>
        <w:spacing w:before="264"/>
      </w:pPr>
      <w:r>
        <w:rPr>
          <w:color w:val="231F20"/>
        </w:rPr>
        <w:t>POTENTIAL ADVERSE EFFECTS</w:t>
      </w:r>
    </w:p>
    <w:p w:rsidR="00B7229C" w:rsidRDefault="00CD566E">
      <w:pPr>
        <w:pStyle w:val="BodyText"/>
        <w:spacing w:before="10" w:line="216" w:lineRule="auto"/>
        <w:ind w:right="58"/>
      </w:pPr>
      <w:r>
        <w:rPr>
          <w:color w:val="231F20"/>
        </w:rPr>
        <w:t>Potential complications and adverse effects for this system are similar to those of other spinal instrumentation systems and include, but are not limited to: pseudarthrosis, insufficient bone stock, painful bursa, pressure necrosis, palpable components, early or late loosening of the components; disassembly, bending or breakage of any or all of the components; foreign body (allergic) reaction to the implants; infections possible requiring removal of devices; loss of neurological function, including paralysis, spinal cord impingement or damage.</w:t>
      </w:r>
    </w:p>
    <w:p w:rsidR="00B7229C" w:rsidRDefault="00CD566E">
      <w:pPr>
        <w:pStyle w:val="Heading1"/>
        <w:spacing w:before="267"/>
      </w:pPr>
      <w:r>
        <w:rPr>
          <w:color w:val="231F20"/>
        </w:rPr>
        <w:t>MRI SAFETY INFORMATION</w:t>
      </w:r>
    </w:p>
    <w:p w:rsidR="00B7229C" w:rsidRDefault="00CD566E" w:rsidP="005015A1">
      <w:pPr>
        <w:pStyle w:val="BodyText"/>
        <w:spacing w:before="10" w:line="216" w:lineRule="auto"/>
        <w:ind w:right="97" w:hanging="1"/>
      </w:pPr>
      <w:r>
        <w:rPr>
          <w:color w:val="231F20"/>
        </w:rPr>
        <w:t>The NEXXT MATRIXX</w:t>
      </w:r>
      <w:r>
        <w:rPr>
          <w:color w:val="231F20"/>
          <w:position w:val="8"/>
          <w:sz w:val="14"/>
        </w:rPr>
        <w:t xml:space="preserve">® </w:t>
      </w:r>
      <w:r>
        <w:rPr>
          <w:color w:val="231F20"/>
        </w:rPr>
        <w:t xml:space="preserve">Stand Alone Cervical </w:t>
      </w:r>
      <w:r w:rsidR="005015A1">
        <w:rPr>
          <w:color w:val="231F20"/>
        </w:rPr>
        <w:t xml:space="preserve">– TL </w:t>
      </w:r>
      <w:r>
        <w:rPr>
          <w:color w:val="231F20"/>
        </w:rPr>
        <w:t>System has not been evaluated for safety and compatibility in the MR environment. It has not been tested for heating, migration, or image artifact in the MR environment. The safety of the NEXXT MATRIXX</w:t>
      </w:r>
      <w:r>
        <w:rPr>
          <w:color w:val="231F20"/>
          <w:position w:val="8"/>
          <w:sz w:val="14"/>
        </w:rPr>
        <w:t xml:space="preserve">® </w:t>
      </w:r>
      <w:r>
        <w:rPr>
          <w:color w:val="231F20"/>
        </w:rPr>
        <w:t xml:space="preserve">Stand Alone Cervical </w:t>
      </w:r>
      <w:r w:rsidR="005015A1">
        <w:rPr>
          <w:color w:val="231F20"/>
        </w:rPr>
        <w:t xml:space="preserve">– TL </w:t>
      </w:r>
      <w:r>
        <w:rPr>
          <w:color w:val="231F20"/>
        </w:rPr>
        <w:t>System in the MR environment is unknown.</w:t>
      </w:r>
      <w:r w:rsidR="005015A1">
        <w:t xml:space="preserve"> </w:t>
      </w:r>
      <w:r>
        <w:rPr>
          <w:color w:val="231F20"/>
        </w:rPr>
        <w:t>Scanning a patient who has this device may result in patient injury.</w:t>
      </w:r>
    </w:p>
    <w:p w:rsidR="00B7229C" w:rsidRDefault="00CD566E">
      <w:pPr>
        <w:pStyle w:val="Heading1"/>
        <w:spacing w:before="257"/>
      </w:pPr>
      <w:r>
        <w:rPr>
          <w:color w:val="231F20"/>
        </w:rPr>
        <w:t>CLEANING AND DECONTAMINATION</w:t>
      </w:r>
    </w:p>
    <w:p w:rsidR="00B7229C" w:rsidRDefault="00CD566E">
      <w:pPr>
        <w:pStyle w:val="BodyText"/>
        <w:spacing w:before="10" w:line="216" w:lineRule="auto"/>
        <w:ind w:right="150"/>
      </w:pPr>
      <w:r>
        <w:rPr>
          <w:color w:val="231F20"/>
        </w:rPr>
        <w:t>All instruments must first be cleaned using established hospital methods before sterilization and introduction into a sterile surgical field. Refer to the Nexxt Spine Reprocessing Instructions for Reusable Instruments document available at Nexxtspine.com/Resources/Indications-For-Use/ or by calling</w:t>
      </w:r>
    </w:p>
    <w:p w:rsidR="00B7229C" w:rsidRDefault="00CD566E">
      <w:pPr>
        <w:pStyle w:val="BodyText"/>
        <w:spacing w:line="295" w:lineRule="exact"/>
      </w:pPr>
      <w:r>
        <w:rPr>
          <w:color w:val="231F20"/>
        </w:rPr>
        <w:t>317-436-7801 for the detailed cleaning instructions.</w:t>
      </w:r>
    </w:p>
    <w:p w:rsidR="00B7229C" w:rsidRDefault="00B7229C">
      <w:pPr>
        <w:spacing w:line="295" w:lineRule="exact"/>
        <w:sectPr w:rsidR="00B7229C">
          <w:pgSz w:w="12240" w:h="15840"/>
          <w:pgMar w:top="1500" w:right="620" w:bottom="280" w:left="600" w:header="720" w:footer="720" w:gutter="0"/>
          <w:cols w:space="720"/>
        </w:sectPr>
      </w:pPr>
    </w:p>
    <w:p w:rsidR="00B7229C" w:rsidRDefault="00CD566E">
      <w:pPr>
        <w:pStyle w:val="Heading1"/>
      </w:pPr>
      <w:r>
        <w:rPr>
          <w:color w:val="231F20"/>
        </w:rPr>
        <w:lastRenderedPageBreak/>
        <w:t>STERILIZATION</w:t>
      </w:r>
    </w:p>
    <w:p w:rsidR="00B7229C" w:rsidRDefault="00CD566E">
      <w:pPr>
        <w:pStyle w:val="BodyText"/>
        <w:spacing w:before="10" w:line="216" w:lineRule="auto"/>
        <w:ind w:right="352" w:hanging="1"/>
      </w:pPr>
      <w:r>
        <w:rPr>
          <w:color w:val="231F20"/>
        </w:rPr>
        <w:t>The NEXXT MATRIXX</w:t>
      </w:r>
      <w:r>
        <w:rPr>
          <w:color w:val="231F20"/>
          <w:position w:val="8"/>
          <w:sz w:val="14"/>
        </w:rPr>
        <w:t xml:space="preserve">® </w:t>
      </w:r>
      <w:r>
        <w:rPr>
          <w:color w:val="231F20"/>
        </w:rPr>
        <w:t xml:space="preserve">Stand Alone Cervical </w:t>
      </w:r>
      <w:r w:rsidR="005015A1">
        <w:rPr>
          <w:color w:val="231F20"/>
        </w:rPr>
        <w:t xml:space="preserve">– TL </w:t>
      </w:r>
      <w:r>
        <w:rPr>
          <w:color w:val="231F20"/>
        </w:rPr>
        <w:t>System implants are supplied STERILE. All sterile products are supplied in protective sterile barrier packaging. Do not use sterile products if the packaging has been damaged or previously opened. Do not re-sterilize or autoclave sterile implants.</w:t>
      </w:r>
    </w:p>
    <w:p w:rsidR="00B7229C" w:rsidRDefault="00CD566E">
      <w:pPr>
        <w:pStyle w:val="BodyText"/>
        <w:spacing w:before="2" w:line="216" w:lineRule="auto"/>
        <w:ind w:right="150"/>
      </w:pPr>
      <w:r>
        <w:rPr>
          <w:color w:val="231F20"/>
        </w:rPr>
        <w:t>The instruments are supplied NON-STERILE and must be sterilized prior to use. Recommended sterilization methods include steam autoclaving after removal of all protective packaging and labeling. Prior to sterilization, verify that all instruments are in their open and unlocked position within the instrument tray(s). The use of an FDA cleared sterilization wrap is recommended. The following validated steam autoclave cycle has been validated to a SAL of 10-6.</w:t>
      </w:r>
    </w:p>
    <w:p w:rsidR="00B7229C" w:rsidRDefault="00B7229C">
      <w:pPr>
        <w:pStyle w:val="BodyText"/>
        <w:spacing w:before="13"/>
        <w:ind w:left="0"/>
        <w:rPr>
          <w:sz w:val="19"/>
        </w:rPr>
      </w:pPr>
    </w:p>
    <w:tbl>
      <w:tblPr>
        <w:tblW w:w="0" w:type="auto"/>
        <w:tblInd w:w="985" w:type="dxa"/>
        <w:tblLayout w:type="fixed"/>
        <w:tblCellMar>
          <w:left w:w="0" w:type="dxa"/>
          <w:right w:w="0" w:type="dxa"/>
        </w:tblCellMar>
        <w:tblLook w:val="01E0" w:firstRow="1" w:lastRow="1" w:firstColumn="1" w:lastColumn="1" w:noHBand="0" w:noVBand="0"/>
      </w:tblPr>
      <w:tblGrid>
        <w:gridCol w:w="1237"/>
        <w:gridCol w:w="1678"/>
        <w:gridCol w:w="2066"/>
        <w:gridCol w:w="2339"/>
        <w:gridCol w:w="1480"/>
      </w:tblGrid>
      <w:tr w:rsidR="00B7229C">
        <w:trPr>
          <w:trHeight w:val="303"/>
        </w:trPr>
        <w:tc>
          <w:tcPr>
            <w:tcW w:w="1237" w:type="dxa"/>
          </w:tcPr>
          <w:p w:rsidR="00B7229C" w:rsidRDefault="00CD566E">
            <w:pPr>
              <w:pStyle w:val="TableParagraph"/>
              <w:ind w:left="31" w:right="273"/>
              <w:jc w:val="center"/>
              <w:rPr>
                <w:rFonts w:ascii="Segoe UI"/>
                <w:b/>
                <w:sz w:val="24"/>
              </w:rPr>
            </w:pPr>
            <w:r>
              <w:rPr>
                <w:rFonts w:ascii="Segoe UI"/>
                <w:b/>
                <w:color w:val="231F20"/>
                <w:sz w:val="24"/>
              </w:rPr>
              <w:t>Method</w:t>
            </w:r>
          </w:p>
        </w:tc>
        <w:tc>
          <w:tcPr>
            <w:tcW w:w="1678" w:type="dxa"/>
          </w:tcPr>
          <w:p w:rsidR="00B7229C" w:rsidRDefault="00CD566E">
            <w:pPr>
              <w:pStyle w:val="TableParagraph"/>
              <w:ind w:left="434"/>
              <w:rPr>
                <w:rFonts w:ascii="Segoe UI"/>
                <w:b/>
                <w:sz w:val="24"/>
              </w:rPr>
            </w:pPr>
            <w:r>
              <w:rPr>
                <w:rFonts w:ascii="Segoe UI"/>
                <w:b/>
                <w:color w:val="231F20"/>
                <w:sz w:val="24"/>
              </w:rPr>
              <w:t>Cycle</w:t>
            </w:r>
          </w:p>
        </w:tc>
        <w:tc>
          <w:tcPr>
            <w:tcW w:w="2066" w:type="dxa"/>
          </w:tcPr>
          <w:p w:rsidR="00B7229C" w:rsidRDefault="00CD566E">
            <w:pPr>
              <w:pStyle w:val="TableParagraph"/>
              <w:ind w:left="201"/>
              <w:rPr>
                <w:rFonts w:ascii="Segoe UI"/>
                <w:b/>
                <w:sz w:val="24"/>
              </w:rPr>
            </w:pPr>
            <w:r>
              <w:rPr>
                <w:rFonts w:ascii="Segoe UI"/>
                <w:b/>
                <w:color w:val="231F20"/>
                <w:sz w:val="24"/>
              </w:rPr>
              <w:t>Temperature</w:t>
            </w:r>
          </w:p>
        </w:tc>
        <w:tc>
          <w:tcPr>
            <w:tcW w:w="2339" w:type="dxa"/>
          </w:tcPr>
          <w:p w:rsidR="00B7229C" w:rsidRDefault="00CD566E">
            <w:pPr>
              <w:pStyle w:val="TableParagraph"/>
              <w:ind w:right="304"/>
              <w:jc w:val="center"/>
              <w:rPr>
                <w:rFonts w:ascii="Segoe UI"/>
                <w:b/>
                <w:sz w:val="24"/>
              </w:rPr>
            </w:pPr>
            <w:r>
              <w:rPr>
                <w:rFonts w:ascii="Segoe UI"/>
                <w:b/>
                <w:color w:val="231F20"/>
                <w:sz w:val="24"/>
              </w:rPr>
              <w:t>Exposure Time</w:t>
            </w:r>
          </w:p>
        </w:tc>
        <w:tc>
          <w:tcPr>
            <w:tcW w:w="1480" w:type="dxa"/>
          </w:tcPr>
          <w:p w:rsidR="00B7229C" w:rsidRDefault="00CD566E">
            <w:pPr>
              <w:pStyle w:val="TableParagraph"/>
              <w:ind w:left="333"/>
              <w:rPr>
                <w:rFonts w:ascii="Segoe UI"/>
                <w:b/>
                <w:sz w:val="24"/>
              </w:rPr>
            </w:pPr>
            <w:r>
              <w:rPr>
                <w:rFonts w:ascii="Segoe UI"/>
                <w:b/>
                <w:color w:val="231F20"/>
                <w:sz w:val="24"/>
              </w:rPr>
              <w:t>Dry Time</w:t>
            </w:r>
          </w:p>
        </w:tc>
      </w:tr>
      <w:tr w:rsidR="00B7229C">
        <w:trPr>
          <w:trHeight w:val="303"/>
        </w:trPr>
        <w:tc>
          <w:tcPr>
            <w:tcW w:w="1237" w:type="dxa"/>
          </w:tcPr>
          <w:p w:rsidR="00B7229C" w:rsidRDefault="00CD566E">
            <w:pPr>
              <w:pStyle w:val="TableParagraph"/>
              <w:ind w:left="29" w:right="273"/>
              <w:jc w:val="center"/>
              <w:rPr>
                <w:sz w:val="24"/>
              </w:rPr>
            </w:pPr>
            <w:r>
              <w:rPr>
                <w:color w:val="231F20"/>
                <w:sz w:val="24"/>
              </w:rPr>
              <w:t>Steam</w:t>
            </w:r>
          </w:p>
        </w:tc>
        <w:tc>
          <w:tcPr>
            <w:tcW w:w="1678" w:type="dxa"/>
          </w:tcPr>
          <w:p w:rsidR="00B7229C" w:rsidRDefault="00CD566E">
            <w:pPr>
              <w:pStyle w:val="TableParagraph"/>
              <w:ind w:left="295"/>
              <w:rPr>
                <w:sz w:val="24"/>
              </w:rPr>
            </w:pPr>
            <w:r>
              <w:rPr>
                <w:color w:val="231F20"/>
                <w:sz w:val="24"/>
              </w:rPr>
              <w:t>Pre-Vacuum</w:t>
            </w:r>
          </w:p>
        </w:tc>
        <w:tc>
          <w:tcPr>
            <w:tcW w:w="2066" w:type="dxa"/>
          </w:tcPr>
          <w:p w:rsidR="00B7229C" w:rsidRDefault="00CD566E">
            <w:pPr>
              <w:pStyle w:val="TableParagraph"/>
              <w:ind w:left="165"/>
              <w:rPr>
                <w:sz w:val="24"/>
              </w:rPr>
            </w:pPr>
            <w:r>
              <w:rPr>
                <w:color w:val="231F20"/>
                <w:sz w:val="24"/>
              </w:rPr>
              <w:t>270° F</w:t>
            </w:r>
            <w:r>
              <w:rPr>
                <w:color w:val="231F20"/>
                <w:spacing w:val="60"/>
                <w:sz w:val="24"/>
              </w:rPr>
              <w:t xml:space="preserve"> </w:t>
            </w:r>
            <w:r>
              <w:rPr>
                <w:color w:val="231F20"/>
                <w:sz w:val="24"/>
              </w:rPr>
              <w:t>(132°C)</w:t>
            </w:r>
          </w:p>
        </w:tc>
        <w:tc>
          <w:tcPr>
            <w:tcW w:w="2339" w:type="dxa"/>
          </w:tcPr>
          <w:p w:rsidR="00B7229C" w:rsidRDefault="00CD566E">
            <w:pPr>
              <w:pStyle w:val="TableParagraph"/>
              <w:ind w:right="303"/>
              <w:jc w:val="center"/>
              <w:rPr>
                <w:sz w:val="24"/>
              </w:rPr>
            </w:pPr>
            <w:r>
              <w:rPr>
                <w:color w:val="231F20"/>
                <w:sz w:val="24"/>
              </w:rPr>
              <w:t>4 Minutes</w:t>
            </w:r>
          </w:p>
        </w:tc>
        <w:tc>
          <w:tcPr>
            <w:tcW w:w="1480" w:type="dxa"/>
          </w:tcPr>
          <w:p w:rsidR="00B7229C" w:rsidRDefault="00CD566E">
            <w:pPr>
              <w:pStyle w:val="TableParagraph"/>
              <w:ind w:left="326"/>
              <w:rPr>
                <w:sz w:val="24"/>
              </w:rPr>
            </w:pPr>
            <w:r>
              <w:rPr>
                <w:color w:val="231F20"/>
                <w:sz w:val="24"/>
              </w:rPr>
              <w:t>30 Minutes</w:t>
            </w:r>
          </w:p>
        </w:tc>
      </w:tr>
    </w:tbl>
    <w:p w:rsidR="00B7229C" w:rsidRDefault="00CD566E">
      <w:pPr>
        <w:pStyle w:val="Heading1"/>
        <w:spacing w:before="256"/>
      </w:pPr>
      <w:r>
        <w:rPr>
          <w:color w:val="231F20"/>
        </w:rPr>
        <w:t>INSTRUCTIONS FOR USE</w:t>
      </w:r>
    </w:p>
    <w:p w:rsidR="00B7229C" w:rsidRDefault="00CD566E">
      <w:pPr>
        <w:pStyle w:val="BodyText"/>
        <w:spacing w:before="11" w:line="216" w:lineRule="auto"/>
      </w:pPr>
      <w:r>
        <w:rPr>
          <w:color w:val="231F20"/>
        </w:rPr>
        <w:t>The NEXXT MATRIXX</w:t>
      </w:r>
      <w:r>
        <w:rPr>
          <w:color w:val="231F20"/>
          <w:position w:val="8"/>
          <w:sz w:val="14"/>
        </w:rPr>
        <w:t xml:space="preserve">® </w:t>
      </w:r>
      <w:r>
        <w:rPr>
          <w:color w:val="231F20"/>
        </w:rPr>
        <w:t xml:space="preserve">Stand Alone Cervical </w:t>
      </w:r>
      <w:r w:rsidR="005015A1">
        <w:rPr>
          <w:color w:val="231F20"/>
        </w:rPr>
        <w:t xml:space="preserve">– TL </w:t>
      </w:r>
      <w:r>
        <w:rPr>
          <w:color w:val="231F20"/>
        </w:rPr>
        <w:t>System should only be implanted by surgeons who are fully experienced in the use of such implants and the required specialized spinal surgery techniques. Refer to NEXXT MATRIXX</w:t>
      </w:r>
      <w:r>
        <w:rPr>
          <w:color w:val="231F20"/>
          <w:position w:val="8"/>
          <w:sz w:val="14"/>
        </w:rPr>
        <w:t xml:space="preserve">® </w:t>
      </w:r>
      <w:r>
        <w:rPr>
          <w:color w:val="231F20"/>
        </w:rPr>
        <w:t xml:space="preserve">Stand Alone Cervical </w:t>
      </w:r>
      <w:r w:rsidR="005015A1">
        <w:rPr>
          <w:color w:val="231F20"/>
        </w:rPr>
        <w:t xml:space="preserve">– TL </w:t>
      </w:r>
      <w:r>
        <w:rPr>
          <w:color w:val="231F20"/>
        </w:rPr>
        <w:t>System Surgical Techniques for complete instructions for use. For product information or to obtain a copy of the surgical technique manual, please contact Nexxt Spine customer service by phone, 317-436-7801.</w:t>
      </w:r>
    </w:p>
    <w:p w:rsidR="00B7229C" w:rsidRDefault="00CD566E">
      <w:pPr>
        <w:pStyle w:val="Heading1"/>
        <w:spacing w:before="265"/>
      </w:pPr>
      <w:r>
        <w:rPr>
          <w:color w:val="231F20"/>
        </w:rPr>
        <w:t xml:space="preserve">INSTRUCTIONS: </w:t>
      </w:r>
      <w:r>
        <w:rPr>
          <w:noProof/>
          <w:color w:val="231F20"/>
          <w:spacing w:val="18"/>
          <w:position w:val="-2"/>
        </w:rPr>
        <w:drawing>
          <wp:inline distT="0" distB="0" distL="0" distR="0">
            <wp:extent cx="192779" cy="14458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192779" cy="144584"/>
                    </a:xfrm>
                    <a:prstGeom prst="rect">
                      <a:avLst/>
                    </a:prstGeom>
                  </pic:spPr>
                </pic:pic>
              </a:graphicData>
            </a:graphic>
          </wp:inline>
        </w:drawing>
      </w:r>
    </w:p>
    <w:p w:rsidR="00B7229C" w:rsidRDefault="00CD566E">
      <w:pPr>
        <w:spacing w:line="288" w:lineRule="exact"/>
        <w:ind w:left="123"/>
        <w:rPr>
          <w:rFonts w:ascii="Segoe UI"/>
          <w:b/>
          <w:sz w:val="24"/>
        </w:rPr>
      </w:pPr>
      <w:r>
        <w:rPr>
          <w:rFonts w:ascii="Segoe UI"/>
          <w:b/>
          <w:color w:val="231F20"/>
          <w:sz w:val="24"/>
        </w:rPr>
        <w:t>PREOPERATIVE</w:t>
      </w:r>
    </w:p>
    <w:p w:rsidR="00B7229C" w:rsidRDefault="00CD566E">
      <w:pPr>
        <w:pStyle w:val="ListParagraph"/>
        <w:numPr>
          <w:ilvl w:val="0"/>
          <w:numId w:val="3"/>
        </w:numPr>
        <w:tabs>
          <w:tab w:val="left" w:pos="329"/>
        </w:tabs>
        <w:spacing w:before="11" w:line="216" w:lineRule="auto"/>
        <w:ind w:right="729" w:firstLine="0"/>
        <w:rPr>
          <w:sz w:val="24"/>
        </w:rPr>
      </w:pPr>
      <w:r>
        <w:rPr>
          <w:color w:val="231F20"/>
          <w:sz w:val="24"/>
        </w:rPr>
        <w:t>Preoperative</w:t>
      </w:r>
      <w:r>
        <w:rPr>
          <w:color w:val="231F20"/>
          <w:spacing w:val="-4"/>
          <w:sz w:val="24"/>
        </w:rPr>
        <w:t xml:space="preserve"> </w:t>
      </w:r>
      <w:r>
        <w:rPr>
          <w:color w:val="231F20"/>
          <w:sz w:val="24"/>
        </w:rPr>
        <w:t>instructions</w:t>
      </w:r>
      <w:r>
        <w:rPr>
          <w:color w:val="231F20"/>
          <w:spacing w:val="-5"/>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patient</w:t>
      </w:r>
      <w:r>
        <w:rPr>
          <w:color w:val="231F20"/>
          <w:spacing w:val="-4"/>
          <w:sz w:val="24"/>
        </w:rPr>
        <w:t xml:space="preserve"> </w:t>
      </w:r>
      <w:r>
        <w:rPr>
          <w:color w:val="231F20"/>
          <w:sz w:val="24"/>
        </w:rPr>
        <w:t>are</w:t>
      </w:r>
      <w:r>
        <w:rPr>
          <w:color w:val="231F20"/>
          <w:spacing w:val="-4"/>
          <w:sz w:val="24"/>
        </w:rPr>
        <w:t xml:space="preserve"> </w:t>
      </w:r>
      <w:r>
        <w:rPr>
          <w:color w:val="231F20"/>
          <w:sz w:val="24"/>
        </w:rPr>
        <w:t>essential.</w:t>
      </w:r>
      <w:r>
        <w:rPr>
          <w:color w:val="231F20"/>
          <w:spacing w:val="-4"/>
          <w:sz w:val="24"/>
        </w:rPr>
        <w:t xml:space="preserve"> </w:t>
      </w:r>
      <w:r>
        <w:rPr>
          <w:color w:val="231F20"/>
          <w:sz w:val="24"/>
        </w:rPr>
        <w:t>The</w:t>
      </w:r>
      <w:r>
        <w:rPr>
          <w:color w:val="231F20"/>
          <w:spacing w:val="-5"/>
          <w:sz w:val="24"/>
        </w:rPr>
        <w:t xml:space="preserve"> </w:t>
      </w:r>
      <w:r>
        <w:rPr>
          <w:color w:val="231F20"/>
          <w:sz w:val="24"/>
        </w:rPr>
        <w:t>adverse</w:t>
      </w:r>
      <w:r>
        <w:rPr>
          <w:color w:val="231F20"/>
          <w:spacing w:val="-5"/>
          <w:sz w:val="24"/>
        </w:rPr>
        <w:t xml:space="preserve"> </w:t>
      </w:r>
      <w:r>
        <w:rPr>
          <w:color w:val="231F20"/>
          <w:sz w:val="24"/>
        </w:rPr>
        <w:t>effects,</w:t>
      </w:r>
      <w:r>
        <w:rPr>
          <w:color w:val="231F20"/>
          <w:spacing w:val="-3"/>
          <w:sz w:val="24"/>
        </w:rPr>
        <w:t xml:space="preserve"> </w:t>
      </w:r>
      <w:r>
        <w:rPr>
          <w:color w:val="231F20"/>
          <w:sz w:val="24"/>
        </w:rPr>
        <w:t>warnings,</w:t>
      </w:r>
      <w:r>
        <w:rPr>
          <w:color w:val="231F20"/>
          <w:spacing w:val="-5"/>
          <w:sz w:val="24"/>
        </w:rPr>
        <w:t xml:space="preserve"> </w:t>
      </w:r>
      <w:r>
        <w:rPr>
          <w:color w:val="231F20"/>
          <w:sz w:val="24"/>
        </w:rPr>
        <w:t>precautions</w:t>
      </w:r>
      <w:r>
        <w:rPr>
          <w:color w:val="231F20"/>
          <w:spacing w:val="-4"/>
          <w:sz w:val="24"/>
        </w:rPr>
        <w:t xml:space="preserve"> </w:t>
      </w:r>
      <w:r>
        <w:rPr>
          <w:color w:val="231F20"/>
          <w:sz w:val="24"/>
        </w:rPr>
        <w:t>and limitations should be understood by the surgeon and explained to the patient prior to the</w:t>
      </w:r>
      <w:r>
        <w:rPr>
          <w:color w:val="231F20"/>
          <w:spacing w:val="-37"/>
          <w:sz w:val="24"/>
        </w:rPr>
        <w:t xml:space="preserve"> </w:t>
      </w:r>
      <w:r>
        <w:rPr>
          <w:color w:val="231F20"/>
          <w:spacing w:val="-3"/>
          <w:sz w:val="24"/>
        </w:rPr>
        <w:t>surgery.</w:t>
      </w:r>
    </w:p>
    <w:p w:rsidR="00B7229C" w:rsidRDefault="00CD566E">
      <w:pPr>
        <w:pStyle w:val="ListParagraph"/>
        <w:numPr>
          <w:ilvl w:val="0"/>
          <w:numId w:val="3"/>
        </w:numPr>
        <w:tabs>
          <w:tab w:val="left" w:pos="367"/>
        </w:tabs>
        <w:spacing w:before="0" w:line="279" w:lineRule="exact"/>
        <w:ind w:left="366" w:hanging="243"/>
        <w:rPr>
          <w:sz w:val="24"/>
        </w:rPr>
      </w:pPr>
      <w:r>
        <w:rPr>
          <w:color w:val="231F20"/>
          <w:sz w:val="24"/>
        </w:rPr>
        <w:t>Only patients that meet the criteria described in the indications should be</w:t>
      </w:r>
      <w:r>
        <w:rPr>
          <w:color w:val="231F20"/>
          <w:spacing w:val="-18"/>
          <w:sz w:val="24"/>
        </w:rPr>
        <w:t xml:space="preserve"> </w:t>
      </w:r>
      <w:r>
        <w:rPr>
          <w:color w:val="231F20"/>
          <w:sz w:val="24"/>
        </w:rPr>
        <w:t>selected.</w:t>
      </w:r>
    </w:p>
    <w:p w:rsidR="00B7229C" w:rsidRDefault="00CD566E">
      <w:pPr>
        <w:pStyle w:val="ListParagraph"/>
        <w:numPr>
          <w:ilvl w:val="0"/>
          <w:numId w:val="3"/>
        </w:numPr>
        <w:tabs>
          <w:tab w:val="left" w:pos="367"/>
        </w:tabs>
        <w:spacing w:before="10" w:line="216" w:lineRule="auto"/>
        <w:ind w:right="943" w:firstLine="0"/>
        <w:rPr>
          <w:sz w:val="24"/>
        </w:rPr>
      </w:pPr>
      <w:r>
        <w:rPr>
          <w:color w:val="231F20"/>
          <w:sz w:val="24"/>
        </w:rPr>
        <w:t xml:space="preserve">Correct selection </w:t>
      </w:r>
      <w:r>
        <w:rPr>
          <w:color w:val="231F20"/>
          <w:spacing w:val="-4"/>
          <w:sz w:val="24"/>
        </w:rPr>
        <w:t xml:space="preserve">of </w:t>
      </w:r>
      <w:r>
        <w:rPr>
          <w:color w:val="231F20"/>
          <w:sz w:val="24"/>
        </w:rPr>
        <w:t xml:space="preserve">the implant is extremely important. An adequate inventory </w:t>
      </w:r>
      <w:r>
        <w:rPr>
          <w:color w:val="231F20"/>
          <w:spacing w:val="-4"/>
          <w:sz w:val="24"/>
        </w:rPr>
        <w:t xml:space="preserve">of </w:t>
      </w:r>
      <w:r>
        <w:rPr>
          <w:color w:val="231F20"/>
          <w:sz w:val="24"/>
        </w:rPr>
        <w:t xml:space="preserve">sizes should be available at the time </w:t>
      </w:r>
      <w:r>
        <w:rPr>
          <w:color w:val="231F20"/>
          <w:spacing w:val="-4"/>
          <w:sz w:val="24"/>
        </w:rPr>
        <w:t>of</w:t>
      </w:r>
      <w:r>
        <w:rPr>
          <w:color w:val="231F20"/>
          <w:spacing w:val="-3"/>
          <w:sz w:val="24"/>
        </w:rPr>
        <w:t xml:space="preserve"> surgery.</w:t>
      </w:r>
    </w:p>
    <w:p w:rsidR="00B7229C" w:rsidRDefault="00CD566E">
      <w:pPr>
        <w:pStyle w:val="ListParagraph"/>
        <w:numPr>
          <w:ilvl w:val="0"/>
          <w:numId w:val="3"/>
        </w:numPr>
        <w:tabs>
          <w:tab w:val="left" w:pos="371"/>
        </w:tabs>
        <w:spacing w:before="1" w:line="216" w:lineRule="auto"/>
        <w:ind w:right="279" w:firstLine="0"/>
        <w:rPr>
          <w:sz w:val="24"/>
        </w:rPr>
      </w:pPr>
      <w:r>
        <w:rPr>
          <w:color w:val="231F20"/>
          <w:spacing w:val="-3"/>
          <w:sz w:val="24"/>
        </w:rPr>
        <w:t xml:space="preserve">Patient </w:t>
      </w:r>
      <w:r>
        <w:rPr>
          <w:color w:val="231F20"/>
          <w:sz w:val="24"/>
        </w:rPr>
        <w:t xml:space="preserve">conditions and/or predispositions such as those mentioned in the Contraindications, Precautions and </w:t>
      </w:r>
      <w:r>
        <w:rPr>
          <w:color w:val="231F20"/>
          <w:spacing w:val="-3"/>
          <w:sz w:val="24"/>
        </w:rPr>
        <w:t xml:space="preserve">Warnings </w:t>
      </w:r>
      <w:r>
        <w:rPr>
          <w:color w:val="231F20"/>
          <w:sz w:val="24"/>
        </w:rPr>
        <w:t>should be</w:t>
      </w:r>
      <w:r>
        <w:rPr>
          <w:color w:val="231F20"/>
          <w:spacing w:val="-2"/>
          <w:sz w:val="24"/>
        </w:rPr>
        <w:t xml:space="preserve"> </w:t>
      </w:r>
      <w:r>
        <w:rPr>
          <w:color w:val="231F20"/>
          <w:sz w:val="24"/>
        </w:rPr>
        <w:t>avoided.</w:t>
      </w:r>
    </w:p>
    <w:p w:rsidR="00B7229C" w:rsidRDefault="00CD566E">
      <w:pPr>
        <w:pStyle w:val="ListParagraph"/>
        <w:numPr>
          <w:ilvl w:val="0"/>
          <w:numId w:val="3"/>
        </w:numPr>
        <w:tabs>
          <w:tab w:val="left" w:pos="367"/>
        </w:tabs>
        <w:spacing w:line="216" w:lineRule="auto"/>
        <w:ind w:right="714" w:firstLine="0"/>
        <w:rPr>
          <w:sz w:val="24"/>
        </w:rPr>
      </w:pPr>
      <w:r>
        <w:rPr>
          <w:color w:val="231F20"/>
          <w:sz w:val="24"/>
        </w:rPr>
        <w:t xml:space="preserve">The surgeon should be familiar with the use and handling </w:t>
      </w:r>
      <w:r>
        <w:rPr>
          <w:color w:val="231F20"/>
          <w:spacing w:val="-4"/>
          <w:sz w:val="24"/>
        </w:rPr>
        <w:t xml:space="preserve">of </w:t>
      </w:r>
      <w:r>
        <w:rPr>
          <w:color w:val="231F20"/>
          <w:sz w:val="24"/>
        </w:rPr>
        <w:t xml:space="preserve">all components and instruments </w:t>
      </w:r>
      <w:r>
        <w:rPr>
          <w:color w:val="231F20"/>
          <w:spacing w:val="-4"/>
          <w:sz w:val="24"/>
        </w:rPr>
        <w:t xml:space="preserve">of </w:t>
      </w:r>
      <w:r>
        <w:rPr>
          <w:color w:val="231F20"/>
          <w:sz w:val="24"/>
        </w:rPr>
        <w:t>the system prior to</w:t>
      </w:r>
      <w:r>
        <w:rPr>
          <w:color w:val="231F20"/>
          <w:spacing w:val="-3"/>
          <w:sz w:val="24"/>
        </w:rPr>
        <w:t xml:space="preserve"> surgery.</w:t>
      </w:r>
    </w:p>
    <w:p w:rsidR="00B7229C" w:rsidRDefault="00CD566E">
      <w:pPr>
        <w:pStyle w:val="ListParagraph"/>
        <w:numPr>
          <w:ilvl w:val="0"/>
          <w:numId w:val="3"/>
        </w:numPr>
        <w:tabs>
          <w:tab w:val="left" w:pos="367"/>
        </w:tabs>
        <w:spacing w:before="1" w:line="216" w:lineRule="auto"/>
        <w:ind w:right="538" w:firstLine="0"/>
        <w:rPr>
          <w:sz w:val="24"/>
        </w:rPr>
      </w:pPr>
      <w:r>
        <w:rPr>
          <w:color w:val="231F20"/>
          <w:sz w:val="24"/>
        </w:rPr>
        <w:t>Proper</w:t>
      </w:r>
      <w:r>
        <w:rPr>
          <w:color w:val="231F20"/>
          <w:spacing w:val="-4"/>
          <w:sz w:val="24"/>
        </w:rPr>
        <w:t xml:space="preserve"> </w:t>
      </w:r>
      <w:r>
        <w:rPr>
          <w:color w:val="231F20"/>
          <w:sz w:val="24"/>
        </w:rPr>
        <w:t>function</w:t>
      </w:r>
      <w:r>
        <w:rPr>
          <w:color w:val="231F20"/>
          <w:spacing w:val="-4"/>
          <w:sz w:val="24"/>
        </w:rPr>
        <w:t xml:space="preserve"> of </w:t>
      </w:r>
      <w:r>
        <w:rPr>
          <w:color w:val="231F20"/>
          <w:sz w:val="24"/>
        </w:rPr>
        <w:t>the</w:t>
      </w:r>
      <w:r>
        <w:rPr>
          <w:color w:val="231F20"/>
          <w:spacing w:val="-3"/>
          <w:sz w:val="24"/>
        </w:rPr>
        <w:t xml:space="preserve"> </w:t>
      </w:r>
      <w:r>
        <w:rPr>
          <w:color w:val="231F20"/>
          <w:sz w:val="24"/>
        </w:rPr>
        <w:t>surgical</w:t>
      </w:r>
      <w:r>
        <w:rPr>
          <w:color w:val="231F20"/>
          <w:spacing w:val="-5"/>
          <w:sz w:val="24"/>
        </w:rPr>
        <w:t xml:space="preserve"> </w:t>
      </w:r>
      <w:r>
        <w:rPr>
          <w:color w:val="231F20"/>
          <w:sz w:val="24"/>
        </w:rPr>
        <w:t>instruments</w:t>
      </w:r>
      <w:r>
        <w:rPr>
          <w:color w:val="231F20"/>
          <w:spacing w:val="-5"/>
          <w:sz w:val="24"/>
        </w:rPr>
        <w:t xml:space="preserve"> </w:t>
      </w:r>
      <w:r>
        <w:rPr>
          <w:color w:val="231F20"/>
          <w:sz w:val="24"/>
        </w:rPr>
        <w:t>and</w:t>
      </w:r>
      <w:r>
        <w:rPr>
          <w:color w:val="231F20"/>
          <w:spacing w:val="-4"/>
          <w:sz w:val="24"/>
        </w:rPr>
        <w:t xml:space="preserve"> </w:t>
      </w:r>
      <w:r>
        <w:rPr>
          <w:color w:val="231F20"/>
          <w:sz w:val="24"/>
        </w:rPr>
        <w:t>components</w:t>
      </w:r>
      <w:r>
        <w:rPr>
          <w:color w:val="231F20"/>
          <w:spacing w:val="-4"/>
          <w:sz w:val="24"/>
        </w:rPr>
        <w:t xml:space="preserve"> </w:t>
      </w:r>
      <w:r>
        <w:rPr>
          <w:color w:val="231F20"/>
          <w:sz w:val="24"/>
        </w:rPr>
        <w:t>should</w:t>
      </w:r>
      <w:r>
        <w:rPr>
          <w:color w:val="231F20"/>
          <w:spacing w:val="-5"/>
          <w:sz w:val="24"/>
        </w:rPr>
        <w:t xml:space="preserve"> </w:t>
      </w:r>
      <w:r>
        <w:rPr>
          <w:color w:val="231F20"/>
          <w:sz w:val="24"/>
        </w:rPr>
        <w:t>be</w:t>
      </w:r>
      <w:r>
        <w:rPr>
          <w:color w:val="231F20"/>
          <w:spacing w:val="-4"/>
          <w:sz w:val="24"/>
        </w:rPr>
        <w:t xml:space="preserve"> </w:t>
      </w:r>
      <w:r>
        <w:rPr>
          <w:color w:val="231F20"/>
          <w:sz w:val="24"/>
        </w:rPr>
        <w:t>verified</w:t>
      </w:r>
      <w:r>
        <w:rPr>
          <w:color w:val="231F20"/>
          <w:spacing w:val="-5"/>
          <w:sz w:val="24"/>
        </w:rPr>
        <w:t xml:space="preserve"> </w:t>
      </w:r>
      <w:r>
        <w:rPr>
          <w:color w:val="231F20"/>
          <w:sz w:val="24"/>
        </w:rPr>
        <w:t>prior</w:t>
      </w:r>
      <w:r>
        <w:rPr>
          <w:color w:val="231F20"/>
          <w:spacing w:val="-5"/>
          <w:sz w:val="24"/>
        </w:rPr>
        <w:t xml:space="preserve"> </w:t>
      </w:r>
      <w:r>
        <w:rPr>
          <w:color w:val="231F20"/>
          <w:sz w:val="24"/>
        </w:rPr>
        <w:t>to</w:t>
      </w:r>
      <w:r>
        <w:rPr>
          <w:color w:val="231F20"/>
          <w:spacing w:val="-4"/>
          <w:sz w:val="24"/>
        </w:rPr>
        <w:t xml:space="preserve"> </w:t>
      </w:r>
      <w:r>
        <w:rPr>
          <w:color w:val="231F20"/>
          <w:spacing w:val="2"/>
          <w:sz w:val="24"/>
        </w:rPr>
        <w:t>every</w:t>
      </w:r>
      <w:r>
        <w:rPr>
          <w:color w:val="231F20"/>
          <w:spacing w:val="-4"/>
          <w:sz w:val="24"/>
        </w:rPr>
        <w:t xml:space="preserve"> </w:t>
      </w:r>
      <w:r>
        <w:rPr>
          <w:color w:val="231F20"/>
          <w:sz w:val="24"/>
        </w:rPr>
        <w:t>surgical procedure. All instruments and components must be sterilized before</w:t>
      </w:r>
      <w:r>
        <w:rPr>
          <w:color w:val="231F20"/>
          <w:spacing w:val="-12"/>
          <w:sz w:val="24"/>
        </w:rPr>
        <w:t xml:space="preserve"> </w:t>
      </w:r>
      <w:r>
        <w:rPr>
          <w:color w:val="231F20"/>
          <w:sz w:val="24"/>
        </w:rPr>
        <w:t>use.</w:t>
      </w:r>
    </w:p>
    <w:p w:rsidR="00B7229C" w:rsidRDefault="00CD566E">
      <w:pPr>
        <w:pStyle w:val="Heading1"/>
        <w:spacing w:before="264"/>
      </w:pPr>
      <w:r>
        <w:rPr>
          <w:color w:val="231F20"/>
        </w:rPr>
        <w:t>INTRAOPERATIVE</w:t>
      </w:r>
    </w:p>
    <w:p w:rsidR="00B7229C" w:rsidRDefault="00CD566E">
      <w:pPr>
        <w:pStyle w:val="ListParagraph"/>
        <w:numPr>
          <w:ilvl w:val="0"/>
          <w:numId w:val="2"/>
        </w:numPr>
        <w:tabs>
          <w:tab w:val="left" w:pos="329"/>
        </w:tabs>
        <w:spacing w:before="10" w:line="216" w:lineRule="auto"/>
        <w:ind w:right="1307" w:firstLine="0"/>
        <w:rPr>
          <w:sz w:val="24"/>
        </w:rPr>
      </w:pPr>
      <w:r>
        <w:rPr>
          <w:color w:val="231F20"/>
          <w:sz w:val="24"/>
        </w:rPr>
        <w:t xml:space="preserve">The primary goal </w:t>
      </w:r>
      <w:r>
        <w:rPr>
          <w:color w:val="231F20"/>
          <w:spacing w:val="-4"/>
          <w:sz w:val="24"/>
        </w:rPr>
        <w:t xml:space="preserve">of </w:t>
      </w:r>
      <w:r>
        <w:rPr>
          <w:color w:val="231F20"/>
          <w:sz w:val="24"/>
        </w:rPr>
        <w:t>this surgery is to arthodese selected vertebrae. Adequate exposure, bony preparation, and grafting are essential to this</w:t>
      </w:r>
      <w:r>
        <w:rPr>
          <w:color w:val="231F20"/>
          <w:spacing w:val="-3"/>
          <w:sz w:val="24"/>
        </w:rPr>
        <w:t xml:space="preserve"> </w:t>
      </w:r>
      <w:r>
        <w:rPr>
          <w:color w:val="231F20"/>
          <w:sz w:val="24"/>
        </w:rPr>
        <w:t>result.</w:t>
      </w:r>
    </w:p>
    <w:p w:rsidR="00B7229C" w:rsidRDefault="00CD566E">
      <w:pPr>
        <w:pStyle w:val="ListParagraph"/>
        <w:numPr>
          <w:ilvl w:val="0"/>
          <w:numId w:val="2"/>
        </w:numPr>
        <w:tabs>
          <w:tab w:val="left" w:pos="367"/>
        </w:tabs>
        <w:spacing w:before="1" w:line="216" w:lineRule="auto"/>
        <w:ind w:right="1383" w:firstLine="0"/>
        <w:rPr>
          <w:sz w:val="24"/>
        </w:rPr>
      </w:pPr>
      <w:r>
        <w:rPr>
          <w:color w:val="231F20"/>
          <w:sz w:val="24"/>
        </w:rPr>
        <w:t xml:space="preserve">The placement </w:t>
      </w:r>
      <w:r>
        <w:rPr>
          <w:color w:val="231F20"/>
          <w:spacing w:val="-4"/>
          <w:sz w:val="24"/>
        </w:rPr>
        <w:t xml:space="preserve">of </w:t>
      </w:r>
      <w:r>
        <w:rPr>
          <w:color w:val="231F20"/>
          <w:sz w:val="24"/>
        </w:rPr>
        <w:t xml:space="preserve">NEXXT </w:t>
      </w:r>
      <w:r>
        <w:rPr>
          <w:color w:val="231F20"/>
          <w:spacing w:val="-4"/>
          <w:sz w:val="24"/>
        </w:rPr>
        <w:t>MATRIXX</w:t>
      </w:r>
      <w:r>
        <w:rPr>
          <w:color w:val="231F20"/>
          <w:spacing w:val="-4"/>
          <w:position w:val="8"/>
          <w:sz w:val="14"/>
        </w:rPr>
        <w:t xml:space="preserve">® </w:t>
      </w:r>
      <w:r>
        <w:rPr>
          <w:color w:val="231F20"/>
          <w:sz w:val="24"/>
        </w:rPr>
        <w:t xml:space="preserve">Stand Alone Cervical </w:t>
      </w:r>
      <w:r w:rsidR="005015A1">
        <w:rPr>
          <w:color w:val="231F20"/>
          <w:sz w:val="24"/>
        </w:rPr>
        <w:t xml:space="preserve">– TL </w:t>
      </w:r>
      <w:r>
        <w:rPr>
          <w:color w:val="231F20"/>
          <w:sz w:val="24"/>
        </w:rPr>
        <w:t xml:space="preserve">System devices should be checked </w:t>
      </w:r>
      <w:r>
        <w:rPr>
          <w:color w:val="231F20"/>
          <w:spacing w:val="-3"/>
          <w:sz w:val="24"/>
        </w:rPr>
        <w:t>radiographically.</w:t>
      </w:r>
    </w:p>
    <w:p w:rsidR="00B7229C" w:rsidRDefault="00CD566E">
      <w:pPr>
        <w:pStyle w:val="ListParagraph"/>
        <w:numPr>
          <w:ilvl w:val="0"/>
          <w:numId w:val="2"/>
        </w:numPr>
        <w:tabs>
          <w:tab w:val="left" w:pos="367"/>
        </w:tabs>
        <w:spacing w:line="216" w:lineRule="auto"/>
        <w:ind w:right="651" w:firstLine="0"/>
        <w:rPr>
          <w:sz w:val="24"/>
        </w:rPr>
      </w:pPr>
      <w:r>
        <w:rPr>
          <w:color w:val="231F20"/>
          <w:sz w:val="24"/>
        </w:rPr>
        <w:t>Care</w:t>
      </w:r>
      <w:r>
        <w:rPr>
          <w:color w:val="231F20"/>
          <w:spacing w:val="-5"/>
          <w:sz w:val="24"/>
        </w:rPr>
        <w:t xml:space="preserve"> </w:t>
      </w:r>
      <w:r>
        <w:rPr>
          <w:color w:val="231F20"/>
          <w:sz w:val="24"/>
        </w:rPr>
        <w:t>should</w:t>
      </w:r>
      <w:r>
        <w:rPr>
          <w:color w:val="231F20"/>
          <w:spacing w:val="-5"/>
          <w:sz w:val="24"/>
        </w:rPr>
        <w:t xml:space="preserve"> </w:t>
      </w:r>
      <w:r>
        <w:rPr>
          <w:color w:val="231F20"/>
          <w:sz w:val="24"/>
        </w:rPr>
        <w:t>be</w:t>
      </w:r>
      <w:r>
        <w:rPr>
          <w:color w:val="231F20"/>
          <w:spacing w:val="-5"/>
          <w:sz w:val="24"/>
        </w:rPr>
        <w:t xml:space="preserve"> </w:t>
      </w:r>
      <w:r>
        <w:rPr>
          <w:color w:val="231F20"/>
          <w:sz w:val="24"/>
        </w:rPr>
        <w:t>taken</w:t>
      </w:r>
      <w:r>
        <w:rPr>
          <w:color w:val="231F20"/>
          <w:spacing w:val="-5"/>
          <w:sz w:val="24"/>
        </w:rPr>
        <w:t xml:space="preserve"> </w:t>
      </w:r>
      <w:r>
        <w:rPr>
          <w:color w:val="231F20"/>
          <w:sz w:val="24"/>
        </w:rPr>
        <w:t>when</w:t>
      </w:r>
      <w:r>
        <w:rPr>
          <w:color w:val="231F20"/>
          <w:spacing w:val="-4"/>
          <w:sz w:val="24"/>
        </w:rPr>
        <w:t xml:space="preserve"> </w:t>
      </w:r>
      <w:r>
        <w:rPr>
          <w:color w:val="231F20"/>
          <w:sz w:val="24"/>
        </w:rPr>
        <w:t>positioning</w:t>
      </w:r>
      <w:r>
        <w:rPr>
          <w:color w:val="231F20"/>
          <w:spacing w:val="-5"/>
          <w:sz w:val="24"/>
        </w:rPr>
        <w:t xml:space="preserve"> </w:t>
      </w:r>
      <w:r>
        <w:rPr>
          <w:color w:val="231F20"/>
          <w:sz w:val="24"/>
        </w:rPr>
        <w:t>the</w:t>
      </w:r>
      <w:r>
        <w:rPr>
          <w:color w:val="231F20"/>
          <w:spacing w:val="-5"/>
          <w:sz w:val="24"/>
        </w:rPr>
        <w:t xml:space="preserve"> </w:t>
      </w:r>
      <w:r>
        <w:rPr>
          <w:color w:val="231F20"/>
          <w:sz w:val="24"/>
        </w:rPr>
        <w:t>implants</w:t>
      </w:r>
      <w:r>
        <w:rPr>
          <w:color w:val="231F20"/>
          <w:spacing w:val="-5"/>
          <w:sz w:val="24"/>
        </w:rPr>
        <w:t xml:space="preserve"> </w:t>
      </w:r>
      <w:r>
        <w:rPr>
          <w:color w:val="231F20"/>
          <w:sz w:val="24"/>
        </w:rPr>
        <w:t>to</w:t>
      </w:r>
      <w:r>
        <w:rPr>
          <w:color w:val="231F20"/>
          <w:spacing w:val="-4"/>
          <w:sz w:val="24"/>
        </w:rPr>
        <w:t xml:space="preserve"> </w:t>
      </w:r>
      <w:r>
        <w:rPr>
          <w:color w:val="231F20"/>
          <w:sz w:val="24"/>
        </w:rPr>
        <w:t>avoid</w:t>
      </w:r>
      <w:r>
        <w:rPr>
          <w:color w:val="231F20"/>
          <w:spacing w:val="-6"/>
          <w:sz w:val="24"/>
        </w:rPr>
        <w:t xml:space="preserve"> </w:t>
      </w:r>
      <w:r>
        <w:rPr>
          <w:color w:val="231F20"/>
          <w:sz w:val="24"/>
        </w:rPr>
        <w:t>neurological</w:t>
      </w:r>
      <w:r>
        <w:rPr>
          <w:color w:val="231F20"/>
          <w:spacing w:val="-4"/>
          <w:sz w:val="24"/>
        </w:rPr>
        <w:t xml:space="preserve"> </w:t>
      </w:r>
      <w:r>
        <w:rPr>
          <w:color w:val="231F20"/>
          <w:sz w:val="24"/>
        </w:rPr>
        <w:t>damage.</w:t>
      </w:r>
      <w:r>
        <w:rPr>
          <w:color w:val="231F20"/>
          <w:spacing w:val="-5"/>
          <w:sz w:val="24"/>
        </w:rPr>
        <w:t xml:space="preserve"> </w:t>
      </w:r>
      <w:r>
        <w:rPr>
          <w:color w:val="231F20"/>
          <w:sz w:val="24"/>
        </w:rPr>
        <w:t>Extreme</w:t>
      </w:r>
      <w:r>
        <w:rPr>
          <w:color w:val="231F20"/>
          <w:spacing w:val="-5"/>
          <w:sz w:val="24"/>
        </w:rPr>
        <w:t xml:space="preserve"> </w:t>
      </w:r>
      <w:r>
        <w:rPr>
          <w:color w:val="231F20"/>
          <w:sz w:val="24"/>
        </w:rPr>
        <w:t xml:space="preserve">caution should be used around the spinal cord and </w:t>
      </w:r>
      <w:r>
        <w:rPr>
          <w:color w:val="231F20"/>
          <w:spacing w:val="2"/>
          <w:sz w:val="24"/>
        </w:rPr>
        <w:t>nerve</w:t>
      </w:r>
      <w:r>
        <w:rPr>
          <w:color w:val="231F20"/>
          <w:spacing w:val="-11"/>
          <w:sz w:val="24"/>
        </w:rPr>
        <w:t xml:space="preserve"> </w:t>
      </w:r>
      <w:r>
        <w:rPr>
          <w:color w:val="231F20"/>
          <w:sz w:val="24"/>
        </w:rPr>
        <w:t>roots.</w:t>
      </w:r>
    </w:p>
    <w:p w:rsidR="00B7229C" w:rsidRDefault="00B7229C">
      <w:pPr>
        <w:spacing w:line="216" w:lineRule="auto"/>
        <w:rPr>
          <w:sz w:val="24"/>
        </w:rPr>
        <w:sectPr w:rsidR="00B7229C">
          <w:pgSz w:w="12240" w:h="15840"/>
          <w:pgMar w:top="1500" w:right="620" w:bottom="280" w:left="600" w:header="720" w:footer="720" w:gutter="0"/>
          <w:cols w:space="720"/>
        </w:sectPr>
      </w:pPr>
    </w:p>
    <w:p w:rsidR="00B7229C" w:rsidRDefault="00CD566E">
      <w:pPr>
        <w:pStyle w:val="Heading1"/>
      </w:pPr>
      <w:r>
        <w:rPr>
          <w:color w:val="231F20"/>
        </w:rPr>
        <w:lastRenderedPageBreak/>
        <w:t>POSTOPERATIVE</w:t>
      </w:r>
    </w:p>
    <w:p w:rsidR="00B7229C" w:rsidRDefault="00CD566E">
      <w:pPr>
        <w:pStyle w:val="ListParagraph"/>
        <w:numPr>
          <w:ilvl w:val="0"/>
          <w:numId w:val="1"/>
        </w:numPr>
        <w:tabs>
          <w:tab w:val="left" w:pos="329"/>
        </w:tabs>
        <w:spacing w:before="10" w:line="216" w:lineRule="auto"/>
        <w:ind w:right="489" w:firstLine="0"/>
        <w:rPr>
          <w:sz w:val="24"/>
        </w:rPr>
      </w:pPr>
      <w:r>
        <w:rPr>
          <w:color w:val="231F20"/>
          <w:sz w:val="24"/>
        </w:rPr>
        <w:t>Adequately</w:t>
      </w:r>
      <w:r>
        <w:rPr>
          <w:color w:val="231F20"/>
          <w:spacing w:val="-5"/>
          <w:sz w:val="24"/>
        </w:rPr>
        <w:t xml:space="preserve"> </w:t>
      </w:r>
      <w:r>
        <w:rPr>
          <w:color w:val="231F20"/>
          <w:sz w:val="24"/>
        </w:rPr>
        <w:t>instruct</w:t>
      </w:r>
      <w:r>
        <w:rPr>
          <w:color w:val="231F20"/>
          <w:spacing w:val="-5"/>
          <w:sz w:val="24"/>
        </w:rPr>
        <w:t xml:space="preserve"> </w:t>
      </w:r>
      <w:r>
        <w:rPr>
          <w:color w:val="231F20"/>
          <w:sz w:val="24"/>
        </w:rPr>
        <w:t>the</w:t>
      </w:r>
      <w:r>
        <w:rPr>
          <w:color w:val="231F20"/>
          <w:spacing w:val="-4"/>
          <w:sz w:val="24"/>
        </w:rPr>
        <w:t xml:space="preserve"> </w:t>
      </w:r>
      <w:r>
        <w:rPr>
          <w:color w:val="231F20"/>
          <w:sz w:val="24"/>
        </w:rPr>
        <w:t>patient</w:t>
      </w:r>
      <w:r>
        <w:rPr>
          <w:color w:val="231F20"/>
          <w:spacing w:val="-6"/>
          <w:sz w:val="24"/>
        </w:rPr>
        <w:t xml:space="preserve"> </w:t>
      </w:r>
      <w:r>
        <w:rPr>
          <w:color w:val="231F20"/>
          <w:sz w:val="24"/>
        </w:rPr>
        <w:t>on</w:t>
      </w:r>
      <w:r>
        <w:rPr>
          <w:color w:val="231F20"/>
          <w:spacing w:val="-4"/>
          <w:sz w:val="24"/>
        </w:rPr>
        <w:t xml:space="preserve"> </w:t>
      </w:r>
      <w:r>
        <w:rPr>
          <w:color w:val="231F20"/>
          <w:sz w:val="24"/>
        </w:rPr>
        <w:t>postoperative</w:t>
      </w:r>
      <w:r>
        <w:rPr>
          <w:color w:val="231F20"/>
          <w:spacing w:val="-5"/>
          <w:sz w:val="24"/>
        </w:rPr>
        <w:t xml:space="preserve"> </w:t>
      </w:r>
      <w:r>
        <w:rPr>
          <w:color w:val="231F20"/>
          <w:sz w:val="24"/>
        </w:rPr>
        <w:t>care,</w:t>
      </w:r>
      <w:r>
        <w:rPr>
          <w:color w:val="231F20"/>
          <w:spacing w:val="-4"/>
          <w:sz w:val="24"/>
        </w:rPr>
        <w:t xml:space="preserve"> </w:t>
      </w:r>
      <w:r>
        <w:rPr>
          <w:color w:val="231F20"/>
          <w:sz w:val="24"/>
        </w:rPr>
        <w:t>use</w:t>
      </w:r>
      <w:r>
        <w:rPr>
          <w:color w:val="231F20"/>
          <w:spacing w:val="-6"/>
          <w:sz w:val="24"/>
        </w:rPr>
        <w:t xml:space="preserve"> </w:t>
      </w:r>
      <w:r>
        <w:rPr>
          <w:color w:val="231F20"/>
          <w:sz w:val="24"/>
        </w:rPr>
        <w:t>and</w:t>
      </w:r>
      <w:r>
        <w:rPr>
          <w:color w:val="231F20"/>
          <w:spacing w:val="-5"/>
          <w:sz w:val="24"/>
        </w:rPr>
        <w:t xml:space="preserve"> </w:t>
      </w:r>
      <w:r>
        <w:rPr>
          <w:color w:val="231F20"/>
          <w:sz w:val="24"/>
        </w:rPr>
        <w:t>limitations</w:t>
      </w:r>
      <w:r>
        <w:rPr>
          <w:color w:val="231F20"/>
          <w:spacing w:val="-5"/>
          <w:sz w:val="24"/>
        </w:rPr>
        <w:t xml:space="preserve"> </w:t>
      </w:r>
      <w:r>
        <w:rPr>
          <w:color w:val="231F20"/>
          <w:sz w:val="24"/>
        </w:rPr>
        <w:t>and</w:t>
      </w:r>
      <w:r>
        <w:rPr>
          <w:color w:val="231F20"/>
          <w:spacing w:val="-5"/>
          <w:sz w:val="24"/>
        </w:rPr>
        <w:t xml:space="preserve"> </w:t>
      </w:r>
      <w:r>
        <w:rPr>
          <w:color w:val="231F20"/>
          <w:sz w:val="24"/>
        </w:rPr>
        <w:t>potential</w:t>
      </w:r>
      <w:r>
        <w:rPr>
          <w:color w:val="231F20"/>
          <w:spacing w:val="-6"/>
          <w:sz w:val="24"/>
        </w:rPr>
        <w:t xml:space="preserve"> </w:t>
      </w:r>
      <w:r>
        <w:rPr>
          <w:color w:val="231F20"/>
          <w:sz w:val="24"/>
        </w:rPr>
        <w:t xml:space="preserve">complications. Successful healing depends on postoperative care and the </w:t>
      </w:r>
      <w:r>
        <w:rPr>
          <w:color w:val="231F20"/>
          <w:spacing w:val="-4"/>
          <w:sz w:val="24"/>
        </w:rPr>
        <w:t xml:space="preserve">patient’s </w:t>
      </w:r>
      <w:r>
        <w:rPr>
          <w:color w:val="231F20"/>
          <w:sz w:val="24"/>
        </w:rPr>
        <w:t>ability and willingness to follow instructions.</w:t>
      </w:r>
    </w:p>
    <w:p w:rsidR="00B7229C" w:rsidRDefault="00CD566E">
      <w:pPr>
        <w:pStyle w:val="ListParagraph"/>
        <w:numPr>
          <w:ilvl w:val="0"/>
          <w:numId w:val="1"/>
        </w:numPr>
        <w:tabs>
          <w:tab w:val="left" w:pos="367"/>
        </w:tabs>
        <w:spacing w:line="216" w:lineRule="auto"/>
        <w:ind w:right="113" w:firstLine="0"/>
        <w:rPr>
          <w:sz w:val="24"/>
        </w:rPr>
      </w:pPr>
      <w:r>
        <w:rPr>
          <w:color w:val="231F20"/>
          <w:sz w:val="24"/>
        </w:rPr>
        <w:t xml:space="preserve">The patient must be made aware </w:t>
      </w:r>
      <w:r>
        <w:rPr>
          <w:color w:val="231F20"/>
          <w:spacing w:val="-4"/>
          <w:sz w:val="24"/>
        </w:rPr>
        <w:t xml:space="preserve">of </w:t>
      </w:r>
      <w:r>
        <w:rPr>
          <w:color w:val="231F20"/>
          <w:sz w:val="24"/>
        </w:rPr>
        <w:t xml:space="preserve">the limitations </w:t>
      </w:r>
      <w:r>
        <w:rPr>
          <w:color w:val="231F20"/>
          <w:spacing w:val="-4"/>
          <w:sz w:val="24"/>
        </w:rPr>
        <w:t xml:space="preserve">of </w:t>
      </w:r>
      <w:r>
        <w:rPr>
          <w:color w:val="231F20"/>
          <w:sz w:val="24"/>
        </w:rPr>
        <w:t xml:space="preserve">the implant and that physical activity and load bearing may cause premature loosening, bending or fracture </w:t>
      </w:r>
      <w:r>
        <w:rPr>
          <w:color w:val="231F20"/>
          <w:spacing w:val="-4"/>
          <w:sz w:val="24"/>
        </w:rPr>
        <w:t xml:space="preserve">of </w:t>
      </w:r>
      <w:r>
        <w:rPr>
          <w:color w:val="231F20"/>
          <w:sz w:val="24"/>
        </w:rPr>
        <w:t xml:space="preserve">the internal fixation device. The patient should be warned to avoid falls, sudden jolts, mechanical vibrations, and lifting, twisting motions and restrict any type </w:t>
      </w:r>
      <w:r>
        <w:rPr>
          <w:color w:val="231F20"/>
          <w:spacing w:val="-4"/>
          <w:sz w:val="24"/>
        </w:rPr>
        <w:t xml:space="preserve">of </w:t>
      </w:r>
      <w:r>
        <w:rPr>
          <w:color w:val="231F20"/>
          <w:sz w:val="24"/>
        </w:rPr>
        <w:t>sport participation. An active, debilitated, or uncooperative patient who cannot properly restrict activities may be at particular risk during postoperative</w:t>
      </w:r>
      <w:r>
        <w:rPr>
          <w:color w:val="231F20"/>
          <w:spacing w:val="-10"/>
          <w:sz w:val="24"/>
        </w:rPr>
        <w:t xml:space="preserve"> </w:t>
      </w:r>
      <w:r>
        <w:rPr>
          <w:color w:val="231F20"/>
          <w:sz w:val="24"/>
        </w:rPr>
        <w:t>rehabilitation.</w:t>
      </w:r>
    </w:p>
    <w:p w:rsidR="00B7229C" w:rsidRDefault="00CD566E">
      <w:pPr>
        <w:pStyle w:val="ListParagraph"/>
        <w:numPr>
          <w:ilvl w:val="0"/>
          <w:numId w:val="1"/>
        </w:numPr>
        <w:tabs>
          <w:tab w:val="left" w:pos="367"/>
        </w:tabs>
        <w:spacing w:before="4" w:line="216" w:lineRule="auto"/>
        <w:ind w:right="200" w:firstLine="0"/>
        <w:rPr>
          <w:sz w:val="24"/>
        </w:rPr>
      </w:pPr>
      <w:r>
        <w:rPr>
          <w:color w:val="231F20"/>
          <w:sz w:val="24"/>
        </w:rPr>
        <w:t xml:space="preserve">If a nonunion develops, or if the implants loosen, fracture, corrode, migrate, cause pain, or stress, the device(s) should be evaluated, revised and/or removed. </w:t>
      </w:r>
      <w:r>
        <w:rPr>
          <w:color w:val="231F20"/>
          <w:spacing w:val="-3"/>
          <w:sz w:val="24"/>
        </w:rPr>
        <w:t xml:space="preserve">Patients </w:t>
      </w:r>
      <w:r>
        <w:rPr>
          <w:color w:val="231F20"/>
          <w:sz w:val="24"/>
        </w:rPr>
        <w:t xml:space="preserve">with evidence </w:t>
      </w:r>
      <w:r>
        <w:rPr>
          <w:color w:val="231F20"/>
          <w:spacing w:val="-4"/>
          <w:sz w:val="24"/>
        </w:rPr>
        <w:t xml:space="preserve">of </w:t>
      </w:r>
      <w:r>
        <w:rPr>
          <w:color w:val="231F20"/>
          <w:sz w:val="24"/>
        </w:rPr>
        <w:t xml:space="preserve">these conditions should be closely observed, the possibilities </w:t>
      </w:r>
      <w:r>
        <w:rPr>
          <w:color w:val="231F20"/>
          <w:spacing w:val="-4"/>
          <w:sz w:val="24"/>
        </w:rPr>
        <w:t xml:space="preserve">of </w:t>
      </w:r>
      <w:r>
        <w:rPr>
          <w:color w:val="231F20"/>
          <w:sz w:val="24"/>
        </w:rPr>
        <w:t xml:space="preserve">further deterioration evaluated, and the benefits </w:t>
      </w:r>
      <w:r>
        <w:rPr>
          <w:color w:val="231F20"/>
          <w:spacing w:val="-4"/>
          <w:sz w:val="24"/>
        </w:rPr>
        <w:t xml:space="preserve">of </w:t>
      </w:r>
      <w:r>
        <w:rPr>
          <w:color w:val="231F20"/>
          <w:sz w:val="24"/>
        </w:rPr>
        <w:t xml:space="preserve">reduced </w:t>
      </w:r>
      <w:r>
        <w:rPr>
          <w:color w:val="231F20"/>
          <w:spacing w:val="-3"/>
          <w:sz w:val="24"/>
        </w:rPr>
        <w:t xml:space="preserve">activity, </w:t>
      </w:r>
      <w:r>
        <w:rPr>
          <w:color w:val="231F20"/>
          <w:sz w:val="24"/>
        </w:rPr>
        <w:t>revision or removal</w:t>
      </w:r>
      <w:r>
        <w:rPr>
          <w:color w:val="231F20"/>
          <w:spacing w:val="-1"/>
          <w:sz w:val="24"/>
        </w:rPr>
        <w:t xml:space="preserve"> </w:t>
      </w:r>
      <w:r>
        <w:rPr>
          <w:color w:val="231F20"/>
          <w:sz w:val="24"/>
        </w:rPr>
        <w:t>considered.</w:t>
      </w:r>
    </w:p>
    <w:p w:rsidR="00B7229C" w:rsidRDefault="00CD566E">
      <w:pPr>
        <w:pStyle w:val="ListParagraph"/>
        <w:numPr>
          <w:ilvl w:val="0"/>
          <w:numId w:val="1"/>
        </w:numPr>
        <w:tabs>
          <w:tab w:val="left" w:pos="371"/>
        </w:tabs>
        <w:spacing w:line="216" w:lineRule="auto"/>
        <w:ind w:right="617" w:firstLine="0"/>
        <w:rPr>
          <w:sz w:val="24"/>
        </w:rPr>
      </w:pPr>
      <w:r>
        <w:rPr>
          <w:color w:val="231F20"/>
          <w:sz w:val="24"/>
        </w:rPr>
        <w:t>Periodic</w:t>
      </w:r>
      <w:r>
        <w:rPr>
          <w:color w:val="231F20"/>
          <w:spacing w:val="-4"/>
          <w:sz w:val="24"/>
        </w:rPr>
        <w:t xml:space="preserve"> </w:t>
      </w:r>
      <w:r>
        <w:rPr>
          <w:color w:val="231F20"/>
          <w:sz w:val="24"/>
        </w:rPr>
        <w:t>X-rays</w:t>
      </w:r>
      <w:r>
        <w:rPr>
          <w:color w:val="231F20"/>
          <w:spacing w:val="-3"/>
          <w:sz w:val="24"/>
        </w:rPr>
        <w:t xml:space="preserve"> </w:t>
      </w:r>
      <w:r>
        <w:rPr>
          <w:color w:val="231F20"/>
          <w:sz w:val="24"/>
        </w:rPr>
        <w:t>for</w:t>
      </w:r>
      <w:r>
        <w:rPr>
          <w:color w:val="231F20"/>
          <w:spacing w:val="-4"/>
          <w:sz w:val="24"/>
        </w:rPr>
        <w:t xml:space="preserve"> </w:t>
      </w:r>
      <w:r>
        <w:rPr>
          <w:color w:val="231F20"/>
          <w:sz w:val="24"/>
        </w:rPr>
        <w:t>at</w:t>
      </w:r>
      <w:r>
        <w:rPr>
          <w:color w:val="231F20"/>
          <w:spacing w:val="-4"/>
          <w:sz w:val="24"/>
        </w:rPr>
        <w:t xml:space="preserve"> </w:t>
      </w:r>
      <w:r>
        <w:rPr>
          <w:color w:val="231F20"/>
          <w:sz w:val="24"/>
        </w:rPr>
        <w:t>least</w:t>
      </w:r>
      <w:r>
        <w:rPr>
          <w:color w:val="231F20"/>
          <w:spacing w:val="-4"/>
          <w:sz w:val="24"/>
        </w:rPr>
        <w:t xml:space="preserve"> </w:t>
      </w:r>
      <w:r>
        <w:rPr>
          <w:color w:val="231F20"/>
          <w:sz w:val="24"/>
        </w:rPr>
        <w:t>the</w:t>
      </w:r>
      <w:r>
        <w:rPr>
          <w:color w:val="231F20"/>
          <w:spacing w:val="-3"/>
          <w:sz w:val="24"/>
        </w:rPr>
        <w:t xml:space="preserve"> </w:t>
      </w:r>
      <w:r>
        <w:rPr>
          <w:color w:val="231F20"/>
          <w:sz w:val="24"/>
        </w:rPr>
        <w:t>first</w:t>
      </w:r>
      <w:r>
        <w:rPr>
          <w:color w:val="231F20"/>
          <w:spacing w:val="-5"/>
          <w:sz w:val="24"/>
        </w:rPr>
        <w:t xml:space="preserve"> </w:t>
      </w:r>
      <w:r>
        <w:rPr>
          <w:color w:val="231F20"/>
          <w:sz w:val="24"/>
        </w:rPr>
        <w:t>year</w:t>
      </w:r>
      <w:r>
        <w:rPr>
          <w:color w:val="231F20"/>
          <w:spacing w:val="-4"/>
          <w:sz w:val="24"/>
        </w:rPr>
        <w:t xml:space="preserve"> </w:t>
      </w:r>
      <w:r>
        <w:rPr>
          <w:color w:val="231F20"/>
          <w:sz w:val="24"/>
        </w:rPr>
        <w:t>postoperatively</w:t>
      </w:r>
      <w:r>
        <w:rPr>
          <w:color w:val="231F20"/>
          <w:spacing w:val="-4"/>
          <w:sz w:val="24"/>
        </w:rPr>
        <w:t xml:space="preserve"> </w:t>
      </w:r>
      <w:r>
        <w:rPr>
          <w:color w:val="231F20"/>
          <w:sz w:val="24"/>
        </w:rPr>
        <w:t>are</w:t>
      </w:r>
      <w:r>
        <w:rPr>
          <w:color w:val="231F20"/>
          <w:spacing w:val="-4"/>
          <w:sz w:val="24"/>
        </w:rPr>
        <w:t xml:space="preserve"> </w:t>
      </w:r>
      <w:r>
        <w:rPr>
          <w:color w:val="231F20"/>
          <w:sz w:val="24"/>
        </w:rPr>
        <w:t>recommended</w:t>
      </w:r>
      <w:r>
        <w:rPr>
          <w:color w:val="231F20"/>
          <w:spacing w:val="-3"/>
          <w:sz w:val="24"/>
        </w:rPr>
        <w:t xml:space="preserve"> </w:t>
      </w:r>
      <w:r>
        <w:rPr>
          <w:color w:val="231F20"/>
          <w:sz w:val="24"/>
        </w:rPr>
        <w:t>to</w:t>
      </w:r>
      <w:r>
        <w:rPr>
          <w:color w:val="231F20"/>
          <w:spacing w:val="-3"/>
          <w:sz w:val="24"/>
        </w:rPr>
        <w:t xml:space="preserve"> </w:t>
      </w:r>
      <w:r>
        <w:rPr>
          <w:color w:val="231F20"/>
          <w:sz w:val="24"/>
        </w:rPr>
        <w:t>detect</w:t>
      </w:r>
      <w:r>
        <w:rPr>
          <w:color w:val="231F20"/>
          <w:spacing w:val="-5"/>
          <w:sz w:val="24"/>
        </w:rPr>
        <w:t xml:space="preserve"> </w:t>
      </w:r>
      <w:r>
        <w:rPr>
          <w:color w:val="231F20"/>
          <w:sz w:val="24"/>
        </w:rPr>
        <w:t>any</w:t>
      </w:r>
      <w:r>
        <w:rPr>
          <w:color w:val="231F20"/>
          <w:spacing w:val="-4"/>
          <w:sz w:val="24"/>
        </w:rPr>
        <w:t xml:space="preserve"> </w:t>
      </w:r>
      <w:r>
        <w:rPr>
          <w:color w:val="231F20"/>
          <w:sz w:val="24"/>
        </w:rPr>
        <w:t>evidence</w:t>
      </w:r>
      <w:r>
        <w:rPr>
          <w:color w:val="231F20"/>
          <w:spacing w:val="-3"/>
          <w:sz w:val="24"/>
        </w:rPr>
        <w:t xml:space="preserve"> </w:t>
      </w:r>
      <w:r>
        <w:rPr>
          <w:color w:val="231F20"/>
          <w:spacing w:val="-4"/>
          <w:sz w:val="24"/>
        </w:rPr>
        <w:t xml:space="preserve">of </w:t>
      </w:r>
      <w:r>
        <w:rPr>
          <w:color w:val="231F20"/>
          <w:sz w:val="24"/>
        </w:rPr>
        <w:t xml:space="preserve">nonunion, changes in position, loosening, bending or cracking </w:t>
      </w:r>
      <w:r>
        <w:rPr>
          <w:color w:val="231F20"/>
          <w:spacing w:val="-3"/>
          <w:sz w:val="24"/>
        </w:rPr>
        <w:t>of</w:t>
      </w:r>
      <w:r>
        <w:rPr>
          <w:color w:val="231F20"/>
          <w:spacing w:val="-12"/>
          <w:sz w:val="24"/>
        </w:rPr>
        <w:t xml:space="preserve"> </w:t>
      </w:r>
      <w:r>
        <w:rPr>
          <w:color w:val="231F20"/>
          <w:sz w:val="24"/>
        </w:rPr>
        <w:t>components.</w:t>
      </w:r>
    </w:p>
    <w:p w:rsidR="00B7229C" w:rsidRDefault="00CD566E">
      <w:pPr>
        <w:pStyle w:val="ListParagraph"/>
        <w:numPr>
          <w:ilvl w:val="0"/>
          <w:numId w:val="1"/>
        </w:numPr>
        <w:tabs>
          <w:tab w:val="left" w:pos="367"/>
        </w:tabs>
        <w:spacing w:before="0" w:line="295" w:lineRule="exact"/>
        <w:ind w:left="366" w:hanging="243"/>
        <w:rPr>
          <w:sz w:val="24"/>
        </w:rPr>
      </w:pPr>
      <w:r>
        <w:rPr>
          <w:color w:val="231F20"/>
          <w:sz w:val="24"/>
        </w:rPr>
        <w:t>Any retrieved devices must never be reused under any</w:t>
      </w:r>
      <w:r>
        <w:rPr>
          <w:color w:val="231F20"/>
          <w:spacing w:val="-10"/>
          <w:sz w:val="24"/>
        </w:rPr>
        <w:t xml:space="preserve"> </w:t>
      </w:r>
      <w:r>
        <w:rPr>
          <w:color w:val="231F20"/>
          <w:sz w:val="24"/>
        </w:rPr>
        <w:t>circumstances.</w:t>
      </w:r>
    </w:p>
    <w:p w:rsidR="00B7229C" w:rsidRDefault="00CD566E">
      <w:pPr>
        <w:pStyle w:val="Heading1"/>
        <w:spacing w:before="257"/>
      </w:pPr>
      <w:r>
        <w:rPr>
          <w:color w:val="231F20"/>
        </w:rPr>
        <w:t>PRODUCT COMPLAINTS</w:t>
      </w:r>
    </w:p>
    <w:p w:rsidR="00B7229C" w:rsidRDefault="00CD566E">
      <w:pPr>
        <w:pStyle w:val="BodyText"/>
        <w:spacing w:before="10" w:line="216" w:lineRule="auto"/>
      </w:pPr>
      <w:r>
        <w:rPr>
          <w:color w:val="231F20"/>
        </w:rPr>
        <w:t>The customer or health care provider should report any dissatisfaction with the product quality, labeling, or performance to Nexxt Spine immediately. Nexxt Spine should be notified immediately of any product malfunction by telephone, fax or written correspondence. When filing a complaint, the name, part number and lot number of the part should be provided along with the name and address of the person filing the complaint.</w:t>
      </w:r>
    </w:p>
    <w:p w:rsidR="00B7229C" w:rsidRDefault="00CD566E">
      <w:pPr>
        <w:pStyle w:val="Heading1"/>
        <w:spacing w:before="266"/>
      </w:pPr>
      <w:r>
        <w:rPr>
          <w:color w:val="231F20"/>
        </w:rPr>
        <w:t>MANUFACTURED BY:</w:t>
      </w:r>
    </w:p>
    <w:p w:rsidR="00B7229C" w:rsidRDefault="00CD566E">
      <w:pPr>
        <w:pStyle w:val="BodyText"/>
        <w:spacing w:line="288" w:lineRule="exact"/>
      </w:pPr>
      <w:r>
        <w:rPr>
          <w:color w:val="231F20"/>
        </w:rPr>
        <w:t>Nexxt Spine, LLC</w:t>
      </w:r>
    </w:p>
    <w:p w:rsidR="00B7229C" w:rsidRDefault="00CD566E">
      <w:pPr>
        <w:pStyle w:val="BodyText"/>
        <w:spacing w:before="10" w:line="216" w:lineRule="auto"/>
        <w:ind w:right="7121"/>
      </w:pPr>
      <w:r>
        <w:rPr>
          <w:color w:val="231F20"/>
        </w:rPr>
        <w:t>14425 Bergen Blvd, Suite B Noblesville, Indiana</w:t>
      </w:r>
      <w:r>
        <w:rPr>
          <w:color w:val="231F20"/>
          <w:spacing w:val="64"/>
        </w:rPr>
        <w:t xml:space="preserve"> </w:t>
      </w:r>
      <w:r>
        <w:rPr>
          <w:color w:val="231F20"/>
          <w:spacing w:val="-3"/>
        </w:rPr>
        <w:t>46060</w:t>
      </w:r>
    </w:p>
    <w:p w:rsidR="00B7229C" w:rsidRDefault="00CD566E">
      <w:pPr>
        <w:pStyle w:val="BodyText"/>
        <w:spacing w:line="279" w:lineRule="exact"/>
      </w:pPr>
      <w:r>
        <w:rPr>
          <w:color w:val="231F20"/>
          <w:spacing w:val="-4"/>
        </w:rPr>
        <w:t xml:space="preserve">Telephone:  </w:t>
      </w:r>
      <w:r>
        <w:rPr>
          <w:color w:val="231F20"/>
        </w:rPr>
        <w:t>(317)</w:t>
      </w:r>
      <w:r>
        <w:rPr>
          <w:color w:val="231F20"/>
          <w:spacing w:val="5"/>
        </w:rPr>
        <w:t xml:space="preserve"> </w:t>
      </w:r>
      <w:r>
        <w:rPr>
          <w:color w:val="231F20"/>
        </w:rPr>
        <w:t>436-7801</w:t>
      </w:r>
    </w:p>
    <w:p w:rsidR="00B7229C" w:rsidRDefault="00CD566E">
      <w:pPr>
        <w:pStyle w:val="BodyText"/>
        <w:spacing w:line="288" w:lineRule="exact"/>
      </w:pPr>
      <w:r>
        <w:rPr>
          <w:color w:val="231F20"/>
        </w:rPr>
        <w:t>Fax: (317) 245-2518</w:t>
      </w:r>
    </w:p>
    <w:p w:rsidR="00B7229C" w:rsidRDefault="003F3845">
      <w:pPr>
        <w:pStyle w:val="BodyText"/>
        <w:spacing w:line="304" w:lineRule="exact"/>
      </w:pPr>
      <w:hyperlink r:id="rId7">
        <w:r w:rsidR="00CD566E">
          <w:rPr>
            <w:color w:val="231F20"/>
          </w:rPr>
          <w:t>www.nexxtspine.com</w:t>
        </w:r>
      </w:hyperlink>
    </w:p>
    <w:p w:rsidR="00B7229C" w:rsidRDefault="00CD566E">
      <w:pPr>
        <w:pStyle w:val="Heading1"/>
        <w:spacing w:before="257" w:line="240" w:lineRule="auto"/>
      </w:pPr>
      <w:r>
        <w:rPr>
          <w:color w:val="231F20"/>
        </w:rPr>
        <w:t>SYMBOL DESCRIPTIONS</w:t>
      </w:r>
    </w:p>
    <w:p w:rsidR="00B7229C" w:rsidRDefault="00B7229C">
      <w:pPr>
        <w:sectPr w:rsidR="00B7229C">
          <w:pgSz w:w="12240" w:h="15840"/>
          <w:pgMar w:top="1500" w:right="620" w:bottom="280" w:left="600" w:header="720" w:footer="720" w:gutter="0"/>
          <w:cols w:space="720"/>
        </w:sectPr>
      </w:pPr>
    </w:p>
    <w:p w:rsidR="00B7229C" w:rsidRDefault="00B7229C">
      <w:pPr>
        <w:pStyle w:val="BodyText"/>
        <w:spacing w:before="10"/>
        <w:ind w:left="0"/>
        <w:rPr>
          <w:rFonts w:ascii="Segoe UI"/>
          <w:b/>
          <w:sz w:val="18"/>
        </w:rPr>
      </w:pPr>
    </w:p>
    <w:p w:rsidR="00B7229C" w:rsidRDefault="003F3845">
      <w:pPr>
        <w:pStyle w:val="BodyText"/>
        <w:ind w:left="563"/>
        <w:rPr>
          <w:rFonts w:ascii="Segoe UI"/>
          <w:sz w:val="20"/>
        </w:rPr>
      </w:pPr>
      <w:r>
        <w:rPr>
          <w:rFonts w:ascii="Segoe UI"/>
          <w:sz w:val="20"/>
        </w:rPr>
      </w:r>
      <w:r>
        <w:rPr>
          <w:rFonts w:ascii="Segoe UI"/>
          <w:sz w:val="20"/>
        </w:rPr>
        <w:pict>
          <v:group id="_x0000_s1035" style="width:22.25pt;height:13.95pt;mso-position-horizontal-relative:char;mso-position-vertical-relative:line" coordsize="445,279">
            <v:shape id="_x0000_s1036" style="position:absolute;width:445;height:279" coordsize="445,279" o:spt="100" adj="0,,0" path="m445,l,,,278r445,l445,264r-431,l14,14r431,l445,xm445,14r-14,l431,264r14,l445,14xm101,70r-52,l49,209r27,l76,159r69,l142,151r-7,-7l142,136r2,-5l76,131r,-34l143,97r-1,l133,83,119,73,101,70xm145,159r-39,l113,160r5,5l118,209r31,l146,206r,-44l145,159xm271,69r-97,l174,209r97,l271,181r-69,l202,153r62,l264,125r-62,l202,97r69,l271,69xm396,69r-97,l299,209r28,l327,153r55,l382,125r-55,l327,97r69,l396,69xm143,97r-32,l118,105r,18l111,131r33,l146,125r,-11l143,97xe" fillcolor="#231f20" stroked="f">
              <v:stroke joinstyle="round"/>
              <v:formulas/>
              <v:path arrowok="t" o:connecttype="segments"/>
            </v:shape>
            <w10:anchorlock/>
          </v:group>
        </w:pict>
      </w:r>
    </w:p>
    <w:p w:rsidR="00B7229C" w:rsidRDefault="003F3845">
      <w:pPr>
        <w:pStyle w:val="BodyText"/>
        <w:spacing w:before="2"/>
        <w:ind w:left="0"/>
        <w:rPr>
          <w:rFonts w:ascii="Segoe UI"/>
          <w:b/>
          <w:sz w:val="15"/>
        </w:rPr>
      </w:pPr>
      <w:r>
        <w:pict>
          <v:group id="_x0000_s1029" style="position:absolute;margin-left:58.2pt;margin-top:12.05pt;width:22.25pt;height:13.9pt;z-index:-251657728;mso-wrap-distance-left:0;mso-wrap-distance-right:0;mso-position-horizontal-relative:page" coordorigin="1164,241" coordsize="445,278">
            <v:line id="_x0000_s1034" style="position:absolute" from="1164,512" to="1608,512" strokecolor="#231f20" strokeweight=".7pt"/>
            <v:line id="_x0000_s1033" style="position:absolute" from="1171,253" to="1171,505" strokecolor="#231f20" strokeweight=".24517mm"/>
            <v:line id="_x0000_s1032" style="position:absolute" from="1164,247" to="1608,247" strokecolor="#231f20" strokeweight=".6pt"/>
            <v:line id="_x0000_s1031" style="position:absolute" from="1601,254" to="1601,504" strokecolor="#231f20" strokeweight=".24483mm"/>
            <v:shape id="_x0000_s1030" type="#_x0000_t75" style="position:absolute;left:1226;top:309;width:334;height:139">
              <v:imagedata r:id="rId8" o:title=""/>
            </v:shape>
            <w10:wrap type="topAndBottom" anchorx="page"/>
          </v:group>
        </w:pict>
      </w:r>
    </w:p>
    <w:p w:rsidR="00B7229C" w:rsidRDefault="00B7229C">
      <w:pPr>
        <w:pStyle w:val="BodyText"/>
        <w:spacing w:before="2"/>
        <w:ind w:left="0"/>
        <w:rPr>
          <w:rFonts w:ascii="Segoe UI"/>
          <w:b/>
          <w:sz w:val="17"/>
        </w:rPr>
      </w:pPr>
    </w:p>
    <w:p w:rsidR="00B7229C" w:rsidRDefault="00CD566E">
      <w:pPr>
        <w:ind w:left="599"/>
        <w:rPr>
          <w:rFonts w:ascii="Segoe UI"/>
          <w:sz w:val="16"/>
        </w:rPr>
      </w:pPr>
      <w:r>
        <w:rPr>
          <w:noProof/>
        </w:rPr>
        <w:drawing>
          <wp:anchor distT="0" distB="0" distL="0" distR="0" simplePos="0" relativeHeight="251655680" behindDoc="0" locked="0" layoutInCell="1" allowOverlap="1">
            <wp:simplePos x="0" y="0"/>
            <wp:positionH relativeFrom="page">
              <wp:posOffset>3190651</wp:posOffset>
            </wp:positionH>
            <wp:positionV relativeFrom="paragraph">
              <wp:posOffset>307299</wp:posOffset>
            </wp:positionV>
            <wp:extent cx="215912" cy="199923"/>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215912" cy="199923"/>
                    </a:xfrm>
                    <a:prstGeom prst="rect">
                      <a:avLst/>
                    </a:prstGeom>
                  </pic:spPr>
                </pic:pic>
              </a:graphicData>
            </a:graphic>
          </wp:anchor>
        </w:drawing>
      </w:r>
      <w:r w:rsidR="003F3845">
        <w:pict>
          <v:group id="_x0000_s1026" style="position:absolute;left:0;text-align:left;margin-left:58.2pt;margin-top:.4pt;width:39.6pt;height:10.55pt;z-index:-251658752;mso-position-horizontal-relative:page;mso-position-vertical-relative:text" coordorigin="1164,8" coordsize="792,211">
            <v:rect id="_x0000_s1028" style="position:absolute;left:1168;top:12;width:782;height:201" filled="f" strokecolor="#231f20" strokeweight=".5pt"/>
            <v:line id="_x0000_s1027" style="position:absolute" from="1795,18" to="1795,213" strokecolor="#231f20" strokeweight=".5pt"/>
            <w10:wrap anchorx="page"/>
          </v:group>
        </w:pict>
      </w:r>
      <w:r>
        <w:rPr>
          <w:noProof/>
        </w:rPr>
        <w:drawing>
          <wp:anchor distT="0" distB="0" distL="0" distR="0" simplePos="0" relativeHeight="251656704" behindDoc="0" locked="0" layoutInCell="1" allowOverlap="1">
            <wp:simplePos x="0" y="0"/>
            <wp:positionH relativeFrom="page">
              <wp:posOffset>740469</wp:posOffset>
            </wp:positionH>
            <wp:positionV relativeFrom="paragraph">
              <wp:posOffset>307990</wp:posOffset>
            </wp:positionV>
            <wp:extent cx="129235" cy="20679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129235" cy="206794"/>
                    </a:xfrm>
                    <a:prstGeom prst="rect">
                      <a:avLst/>
                    </a:prstGeom>
                  </pic:spPr>
                </pic:pic>
              </a:graphicData>
            </a:graphic>
          </wp:anchor>
        </w:drawing>
      </w:r>
      <w:r>
        <w:rPr>
          <w:rFonts w:ascii="Segoe UI"/>
          <w:color w:val="231F20"/>
          <w:sz w:val="16"/>
        </w:rPr>
        <w:t xml:space="preserve">STERILE </w:t>
      </w:r>
      <w:r>
        <w:rPr>
          <w:rFonts w:ascii="Segoe UI"/>
          <w:color w:val="231F20"/>
          <w:spacing w:val="-13"/>
          <w:sz w:val="16"/>
        </w:rPr>
        <w:t>R</w:t>
      </w:r>
    </w:p>
    <w:p w:rsidR="00B7229C" w:rsidRDefault="00CD566E">
      <w:pPr>
        <w:pStyle w:val="BodyText"/>
        <w:spacing w:before="2"/>
        <w:ind w:left="0"/>
        <w:rPr>
          <w:rFonts w:ascii="Segoe UI"/>
          <w:sz w:val="18"/>
        </w:rPr>
      </w:pPr>
      <w:r>
        <w:br w:type="column"/>
      </w:r>
    </w:p>
    <w:p w:rsidR="00B7229C" w:rsidRDefault="00CD566E">
      <w:pPr>
        <w:spacing w:before="1" w:line="496" w:lineRule="auto"/>
        <w:ind w:left="144" w:right="920"/>
        <w:rPr>
          <w:sz w:val="20"/>
        </w:rPr>
      </w:pPr>
      <w:r>
        <w:rPr>
          <w:color w:val="231F20"/>
          <w:sz w:val="20"/>
        </w:rPr>
        <w:t>Model Number Lot Number</w:t>
      </w:r>
    </w:p>
    <w:p w:rsidR="00B7229C" w:rsidRDefault="00CD566E">
      <w:pPr>
        <w:spacing w:line="215" w:lineRule="exact"/>
        <w:ind w:left="144"/>
        <w:rPr>
          <w:sz w:val="20"/>
        </w:rPr>
      </w:pPr>
      <w:r>
        <w:rPr>
          <w:color w:val="231F20"/>
          <w:sz w:val="20"/>
        </w:rPr>
        <w:t>Sterilized Using Irradiation</w:t>
      </w:r>
    </w:p>
    <w:p w:rsidR="00B7229C" w:rsidRDefault="00B7229C">
      <w:pPr>
        <w:pStyle w:val="BodyText"/>
        <w:spacing w:before="10"/>
        <w:ind w:left="0"/>
        <w:rPr>
          <w:sz w:val="20"/>
        </w:rPr>
      </w:pPr>
    </w:p>
    <w:p w:rsidR="00B7229C" w:rsidRDefault="00CD566E">
      <w:pPr>
        <w:ind w:left="144"/>
        <w:rPr>
          <w:sz w:val="20"/>
        </w:rPr>
      </w:pPr>
      <w:r>
        <w:rPr>
          <w:color w:val="231F20"/>
          <w:sz w:val="20"/>
        </w:rPr>
        <w:t>Use By Date</w:t>
      </w:r>
    </w:p>
    <w:p w:rsidR="00B7229C" w:rsidRDefault="00CD566E">
      <w:pPr>
        <w:pStyle w:val="Heading1"/>
        <w:spacing w:before="199" w:line="240" w:lineRule="auto"/>
        <w:ind w:left="566"/>
      </w:pPr>
      <w:r>
        <w:rPr>
          <w:b w:val="0"/>
        </w:rPr>
        <w:br w:type="column"/>
      </w:r>
      <w:r>
        <w:rPr>
          <w:color w:val="231F20"/>
        </w:rPr>
        <w:t>Rx Only</w:t>
      </w:r>
    </w:p>
    <w:p w:rsidR="00B7229C" w:rsidRDefault="00B7229C">
      <w:pPr>
        <w:pStyle w:val="BodyText"/>
        <w:spacing w:before="11" w:after="40"/>
        <w:ind w:left="0"/>
        <w:rPr>
          <w:rFonts w:ascii="Segoe UI"/>
          <w:b/>
          <w:sz w:val="15"/>
        </w:rPr>
      </w:pPr>
    </w:p>
    <w:p w:rsidR="00B7229C" w:rsidRDefault="00CD566E">
      <w:pPr>
        <w:pStyle w:val="BodyText"/>
        <w:spacing w:line="257" w:lineRule="exact"/>
        <w:ind w:left="592"/>
        <w:rPr>
          <w:rFonts w:ascii="Segoe UI"/>
          <w:sz w:val="20"/>
        </w:rPr>
      </w:pPr>
      <w:r>
        <w:rPr>
          <w:rFonts w:ascii="Segoe UI"/>
          <w:noProof/>
          <w:position w:val="-4"/>
          <w:sz w:val="20"/>
        </w:rPr>
        <w:drawing>
          <wp:inline distT="0" distB="0" distL="0" distR="0">
            <wp:extent cx="221152" cy="163353"/>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221152" cy="163353"/>
                    </a:xfrm>
                    <a:prstGeom prst="rect">
                      <a:avLst/>
                    </a:prstGeom>
                  </pic:spPr>
                </pic:pic>
              </a:graphicData>
            </a:graphic>
          </wp:inline>
        </w:drawing>
      </w:r>
    </w:p>
    <w:p w:rsidR="00B7229C" w:rsidRDefault="00CD566E">
      <w:pPr>
        <w:pStyle w:val="BodyText"/>
        <w:spacing w:before="9"/>
        <w:ind w:left="0"/>
        <w:rPr>
          <w:rFonts w:ascii="Segoe UI"/>
          <w:b/>
          <w:sz w:val="12"/>
        </w:rPr>
      </w:pPr>
      <w:r>
        <w:rPr>
          <w:noProof/>
        </w:rPr>
        <w:drawing>
          <wp:anchor distT="0" distB="0" distL="0" distR="0" simplePos="0" relativeHeight="251654656" behindDoc="0" locked="0" layoutInCell="1" allowOverlap="1">
            <wp:simplePos x="0" y="0"/>
            <wp:positionH relativeFrom="page">
              <wp:posOffset>3177332</wp:posOffset>
            </wp:positionH>
            <wp:positionV relativeFrom="paragraph">
              <wp:posOffset>131926</wp:posOffset>
            </wp:positionV>
            <wp:extent cx="228778" cy="228600"/>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2" cstate="print"/>
                    <a:stretch>
                      <a:fillRect/>
                    </a:stretch>
                  </pic:blipFill>
                  <pic:spPr>
                    <a:xfrm>
                      <a:off x="0" y="0"/>
                      <a:ext cx="228778" cy="228600"/>
                    </a:xfrm>
                    <a:prstGeom prst="rect">
                      <a:avLst/>
                    </a:prstGeom>
                  </pic:spPr>
                </pic:pic>
              </a:graphicData>
            </a:graphic>
          </wp:anchor>
        </w:drawing>
      </w:r>
    </w:p>
    <w:p w:rsidR="00B7229C" w:rsidRDefault="00CD566E">
      <w:pPr>
        <w:pStyle w:val="BodyText"/>
        <w:spacing w:before="11"/>
        <w:ind w:left="0"/>
        <w:rPr>
          <w:rFonts w:ascii="Segoe UI"/>
          <w:b/>
          <w:sz w:val="19"/>
        </w:rPr>
      </w:pPr>
      <w:r>
        <w:br w:type="column"/>
      </w:r>
    </w:p>
    <w:p w:rsidR="00B7229C" w:rsidRDefault="00CD566E">
      <w:pPr>
        <w:spacing w:line="216" w:lineRule="auto"/>
        <w:ind w:left="368" w:right="1880"/>
        <w:rPr>
          <w:sz w:val="20"/>
        </w:rPr>
      </w:pPr>
      <w:r>
        <w:rPr>
          <w:color w:val="231F20"/>
          <w:sz w:val="20"/>
        </w:rPr>
        <w:t>Caution: Federal law restricts this device to sale by or on the order of a physician</w:t>
      </w:r>
    </w:p>
    <w:p w:rsidR="00B7229C" w:rsidRDefault="00CD566E">
      <w:pPr>
        <w:spacing w:before="49" w:line="470" w:lineRule="auto"/>
        <w:ind w:left="368" w:right="3054"/>
        <w:rPr>
          <w:sz w:val="20"/>
        </w:rPr>
      </w:pPr>
      <w:r>
        <w:rPr>
          <w:color w:val="231F20"/>
          <w:sz w:val="20"/>
        </w:rPr>
        <w:t>Consult Instructions for Use Do Not Reuse Manufacturer</w:t>
      </w:r>
    </w:p>
    <w:sectPr w:rsidR="00B7229C">
      <w:type w:val="continuous"/>
      <w:pgSz w:w="12240" w:h="15840"/>
      <w:pgMar w:top="860" w:right="620" w:bottom="280" w:left="600" w:header="720" w:footer="720" w:gutter="0"/>
      <w:cols w:num="4" w:space="720" w:equalWidth="0">
        <w:col w:w="1328" w:space="40"/>
        <w:col w:w="2364" w:space="90"/>
        <w:col w:w="1446" w:space="40"/>
        <w:col w:w="571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altName w:val="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Play">
    <w:altName w:val="Play"/>
    <w:panose1 w:val="020B0000000000000000"/>
    <w:charset w:val="00"/>
    <w:family w:val="swiss"/>
    <w:pitch w:val="variable"/>
    <w:sig w:usb0="A00002A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93A3A"/>
    <w:multiLevelType w:val="hybridMultilevel"/>
    <w:tmpl w:val="E41EDE44"/>
    <w:lvl w:ilvl="0" w:tplc="99EEA962">
      <w:start w:val="1"/>
      <w:numFmt w:val="decimal"/>
      <w:lvlText w:val="%1."/>
      <w:lvlJc w:val="left"/>
      <w:pPr>
        <w:ind w:left="118" w:hanging="205"/>
        <w:jc w:val="left"/>
      </w:pPr>
      <w:rPr>
        <w:rFonts w:ascii="Segoe UI Light" w:eastAsia="Segoe UI Light" w:hAnsi="Segoe UI Light" w:cs="Segoe UI Light" w:hint="default"/>
        <w:color w:val="231F20"/>
        <w:spacing w:val="-1"/>
        <w:w w:val="100"/>
        <w:sz w:val="24"/>
        <w:szCs w:val="24"/>
      </w:rPr>
    </w:lvl>
    <w:lvl w:ilvl="1" w:tplc="AFCE1FBC">
      <w:numFmt w:val="bullet"/>
      <w:lvlText w:val="•"/>
      <w:lvlJc w:val="left"/>
      <w:pPr>
        <w:ind w:left="1210" w:hanging="205"/>
      </w:pPr>
      <w:rPr>
        <w:rFonts w:hint="default"/>
      </w:rPr>
    </w:lvl>
    <w:lvl w:ilvl="2" w:tplc="B3C89F66">
      <w:numFmt w:val="bullet"/>
      <w:lvlText w:val="•"/>
      <w:lvlJc w:val="left"/>
      <w:pPr>
        <w:ind w:left="2300" w:hanging="205"/>
      </w:pPr>
      <w:rPr>
        <w:rFonts w:hint="default"/>
      </w:rPr>
    </w:lvl>
    <w:lvl w:ilvl="3" w:tplc="7FD69650">
      <w:numFmt w:val="bullet"/>
      <w:lvlText w:val="•"/>
      <w:lvlJc w:val="left"/>
      <w:pPr>
        <w:ind w:left="3390" w:hanging="205"/>
      </w:pPr>
      <w:rPr>
        <w:rFonts w:hint="default"/>
      </w:rPr>
    </w:lvl>
    <w:lvl w:ilvl="4" w:tplc="ECC2914A">
      <w:numFmt w:val="bullet"/>
      <w:lvlText w:val="•"/>
      <w:lvlJc w:val="left"/>
      <w:pPr>
        <w:ind w:left="4480" w:hanging="205"/>
      </w:pPr>
      <w:rPr>
        <w:rFonts w:hint="default"/>
      </w:rPr>
    </w:lvl>
    <w:lvl w:ilvl="5" w:tplc="5486EF5C">
      <w:numFmt w:val="bullet"/>
      <w:lvlText w:val="•"/>
      <w:lvlJc w:val="left"/>
      <w:pPr>
        <w:ind w:left="5570" w:hanging="205"/>
      </w:pPr>
      <w:rPr>
        <w:rFonts w:hint="default"/>
      </w:rPr>
    </w:lvl>
    <w:lvl w:ilvl="6" w:tplc="4AFCF89A">
      <w:numFmt w:val="bullet"/>
      <w:lvlText w:val="•"/>
      <w:lvlJc w:val="left"/>
      <w:pPr>
        <w:ind w:left="6660" w:hanging="205"/>
      </w:pPr>
      <w:rPr>
        <w:rFonts w:hint="default"/>
      </w:rPr>
    </w:lvl>
    <w:lvl w:ilvl="7" w:tplc="EF32F294">
      <w:numFmt w:val="bullet"/>
      <w:lvlText w:val="•"/>
      <w:lvlJc w:val="left"/>
      <w:pPr>
        <w:ind w:left="7750" w:hanging="205"/>
      </w:pPr>
      <w:rPr>
        <w:rFonts w:hint="default"/>
      </w:rPr>
    </w:lvl>
    <w:lvl w:ilvl="8" w:tplc="D56ADCBE">
      <w:numFmt w:val="bullet"/>
      <w:lvlText w:val="•"/>
      <w:lvlJc w:val="left"/>
      <w:pPr>
        <w:ind w:left="8840" w:hanging="205"/>
      </w:pPr>
      <w:rPr>
        <w:rFonts w:hint="default"/>
      </w:rPr>
    </w:lvl>
  </w:abstractNum>
  <w:abstractNum w:abstractNumId="1" w15:restartNumberingAfterBreak="0">
    <w:nsid w:val="2BF93A73"/>
    <w:multiLevelType w:val="hybridMultilevel"/>
    <w:tmpl w:val="3DC057EA"/>
    <w:lvl w:ilvl="0" w:tplc="4922FEC8">
      <w:start w:val="1"/>
      <w:numFmt w:val="decimal"/>
      <w:lvlText w:val="%1."/>
      <w:lvlJc w:val="left"/>
      <w:pPr>
        <w:ind w:left="123" w:hanging="205"/>
        <w:jc w:val="left"/>
      </w:pPr>
      <w:rPr>
        <w:rFonts w:ascii="Segoe UI Light" w:eastAsia="Segoe UI Light" w:hAnsi="Segoe UI Light" w:cs="Segoe UI Light" w:hint="default"/>
        <w:color w:val="231F20"/>
        <w:spacing w:val="-1"/>
        <w:w w:val="100"/>
        <w:sz w:val="24"/>
        <w:szCs w:val="24"/>
      </w:rPr>
    </w:lvl>
    <w:lvl w:ilvl="1" w:tplc="E30E56EA">
      <w:numFmt w:val="bullet"/>
      <w:lvlText w:val="•"/>
      <w:lvlJc w:val="left"/>
      <w:pPr>
        <w:ind w:left="1210" w:hanging="205"/>
      </w:pPr>
      <w:rPr>
        <w:rFonts w:hint="default"/>
      </w:rPr>
    </w:lvl>
    <w:lvl w:ilvl="2" w:tplc="D23E42AA">
      <w:numFmt w:val="bullet"/>
      <w:lvlText w:val="•"/>
      <w:lvlJc w:val="left"/>
      <w:pPr>
        <w:ind w:left="2300" w:hanging="205"/>
      </w:pPr>
      <w:rPr>
        <w:rFonts w:hint="default"/>
      </w:rPr>
    </w:lvl>
    <w:lvl w:ilvl="3" w:tplc="C95E934C">
      <w:numFmt w:val="bullet"/>
      <w:lvlText w:val="•"/>
      <w:lvlJc w:val="left"/>
      <w:pPr>
        <w:ind w:left="3390" w:hanging="205"/>
      </w:pPr>
      <w:rPr>
        <w:rFonts w:hint="default"/>
      </w:rPr>
    </w:lvl>
    <w:lvl w:ilvl="4" w:tplc="5BD8D362">
      <w:numFmt w:val="bullet"/>
      <w:lvlText w:val="•"/>
      <w:lvlJc w:val="left"/>
      <w:pPr>
        <w:ind w:left="4480" w:hanging="205"/>
      </w:pPr>
      <w:rPr>
        <w:rFonts w:hint="default"/>
      </w:rPr>
    </w:lvl>
    <w:lvl w:ilvl="5" w:tplc="03C27052">
      <w:numFmt w:val="bullet"/>
      <w:lvlText w:val="•"/>
      <w:lvlJc w:val="left"/>
      <w:pPr>
        <w:ind w:left="5570" w:hanging="205"/>
      </w:pPr>
      <w:rPr>
        <w:rFonts w:hint="default"/>
      </w:rPr>
    </w:lvl>
    <w:lvl w:ilvl="6" w:tplc="93209E3C">
      <w:numFmt w:val="bullet"/>
      <w:lvlText w:val="•"/>
      <w:lvlJc w:val="left"/>
      <w:pPr>
        <w:ind w:left="6660" w:hanging="205"/>
      </w:pPr>
      <w:rPr>
        <w:rFonts w:hint="default"/>
      </w:rPr>
    </w:lvl>
    <w:lvl w:ilvl="7" w:tplc="F29C08F6">
      <w:numFmt w:val="bullet"/>
      <w:lvlText w:val="•"/>
      <w:lvlJc w:val="left"/>
      <w:pPr>
        <w:ind w:left="7750" w:hanging="205"/>
      </w:pPr>
      <w:rPr>
        <w:rFonts w:hint="default"/>
      </w:rPr>
    </w:lvl>
    <w:lvl w:ilvl="8" w:tplc="47FCF204">
      <w:numFmt w:val="bullet"/>
      <w:lvlText w:val="•"/>
      <w:lvlJc w:val="left"/>
      <w:pPr>
        <w:ind w:left="8840" w:hanging="205"/>
      </w:pPr>
      <w:rPr>
        <w:rFonts w:hint="default"/>
      </w:rPr>
    </w:lvl>
  </w:abstractNum>
  <w:abstractNum w:abstractNumId="2" w15:restartNumberingAfterBreak="0">
    <w:nsid w:val="346F5372"/>
    <w:multiLevelType w:val="hybridMultilevel"/>
    <w:tmpl w:val="03149252"/>
    <w:lvl w:ilvl="0" w:tplc="D4320EE6">
      <w:start w:val="1"/>
      <w:numFmt w:val="decimal"/>
      <w:lvlText w:val="%1."/>
      <w:lvlJc w:val="left"/>
      <w:pPr>
        <w:ind w:left="123" w:hanging="205"/>
        <w:jc w:val="left"/>
      </w:pPr>
      <w:rPr>
        <w:rFonts w:ascii="Segoe UI Light" w:eastAsia="Segoe UI Light" w:hAnsi="Segoe UI Light" w:cs="Segoe UI Light" w:hint="default"/>
        <w:color w:val="231F20"/>
        <w:spacing w:val="-1"/>
        <w:w w:val="100"/>
        <w:sz w:val="24"/>
        <w:szCs w:val="24"/>
      </w:rPr>
    </w:lvl>
    <w:lvl w:ilvl="1" w:tplc="CE9247AE">
      <w:numFmt w:val="bullet"/>
      <w:lvlText w:val="•"/>
      <w:lvlJc w:val="left"/>
      <w:pPr>
        <w:ind w:left="1210" w:hanging="205"/>
      </w:pPr>
      <w:rPr>
        <w:rFonts w:hint="default"/>
      </w:rPr>
    </w:lvl>
    <w:lvl w:ilvl="2" w:tplc="56568C7E">
      <w:numFmt w:val="bullet"/>
      <w:lvlText w:val="•"/>
      <w:lvlJc w:val="left"/>
      <w:pPr>
        <w:ind w:left="2300" w:hanging="205"/>
      </w:pPr>
      <w:rPr>
        <w:rFonts w:hint="default"/>
      </w:rPr>
    </w:lvl>
    <w:lvl w:ilvl="3" w:tplc="5620A5DE">
      <w:numFmt w:val="bullet"/>
      <w:lvlText w:val="•"/>
      <w:lvlJc w:val="left"/>
      <w:pPr>
        <w:ind w:left="3390" w:hanging="205"/>
      </w:pPr>
      <w:rPr>
        <w:rFonts w:hint="default"/>
      </w:rPr>
    </w:lvl>
    <w:lvl w:ilvl="4" w:tplc="C7A6D512">
      <w:numFmt w:val="bullet"/>
      <w:lvlText w:val="•"/>
      <w:lvlJc w:val="left"/>
      <w:pPr>
        <w:ind w:left="4480" w:hanging="205"/>
      </w:pPr>
      <w:rPr>
        <w:rFonts w:hint="default"/>
      </w:rPr>
    </w:lvl>
    <w:lvl w:ilvl="5" w:tplc="8CFE77AE">
      <w:numFmt w:val="bullet"/>
      <w:lvlText w:val="•"/>
      <w:lvlJc w:val="left"/>
      <w:pPr>
        <w:ind w:left="5570" w:hanging="205"/>
      </w:pPr>
      <w:rPr>
        <w:rFonts w:hint="default"/>
      </w:rPr>
    </w:lvl>
    <w:lvl w:ilvl="6" w:tplc="EECEE6F0">
      <w:numFmt w:val="bullet"/>
      <w:lvlText w:val="•"/>
      <w:lvlJc w:val="left"/>
      <w:pPr>
        <w:ind w:left="6660" w:hanging="205"/>
      </w:pPr>
      <w:rPr>
        <w:rFonts w:hint="default"/>
      </w:rPr>
    </w:lvl>
    <w:lvl w:ilvl="7" w:tplc="419ED85A">
      <w:numFmt w:val="bullet"/>
      <w:lvlText w:val="•"/>
      <w:lvlJc w:val="left"/>
      <w:pPr>
        <w:ind w:left="7750" w:hanging="205"/>
      </w:pPr>
      <w:rPr>
        <w:rFonts w:hint="default"/>
      </w:rPr>
    </w:lvl>
    <w:lvl w:ilvl="8" w:tplc="6DCC9DAE">
      <w:numFmt w:val="bullet"/>
      <w:lvlText w:val="•"/>
      <w:lvlJc w:val="left"/>
      <w:pPr>
        <w:ind w:left="8840" w:hanging="205"/>
      </w:pPr>
      <w:rPr>
        <w:rFonts w:hint="default"/>
      </w:rPr>
    </w:lvl>
  </w:abstractNum>
  <w:abstractNum w:abstractNumId="3" w15:restartNumberingAfterBreak="0">
    <w:nsid w:val="58CE226C"/>
    <w:multiLevelType w:val="hybridMultilevel"/>
    <w:tmpl w:val="6470B23A"/>
    <w:lvl w:ilvl="0" w:tplc="EE6C3BB6">
      <w:start w:val="1"/>
      <w:numFmt w:val="decimal"/>
      <w:lvlText w:val="%1."/>
      <w:lvlJc w:val="left"/>
      <w:pPr>
        <w:ind w:left="123" w:hanging="205"/>
        <w:jc w:val="left"/>
      </w:pPr>
      <w:rPr>
        <w:rFonts w:ascii="Segoe UI Light" w:eastAsia="Segoe UI Light" w:hAnsi="Segoe UI Light" w:cs="Segoe UI Light" w:hint="default"/>
        <w:color w:val="231F20"/>
        <w:spacing w:val="-1"/>
        <w:w w:val="100"/>
        <w:sz w:val="24"/>
        <w:szCs w:val="24"/>
      </w:rPr>
    </w:lvl>
    <w:lvl w:ilvl="1" w:tplc="3ED03C64">
      <w:numFmt w:val="bullet"/>
      <w:lvlText w:val="•"/>
      <w:lvlJc w:val="left"/>
      <w:pPr>
        <w:ind w:left="1210" w:hanging="205"/>
      </w:pPr>
      <w:rPr>
        <w:rFonts w:hint="default"/>
      </w:rPr>
    </w:lvl>
    <w:lvl w:ilvl="2" w:tplc="15FA9D9E">
      <w:numFmt w:val="bullet"/>
      <w:lvlText w:val="•"/>
      <w:lvlJc w:val="left"/>
      <w:pPr>
        <w:ind w:left="2300" w:hanging="205"/>
      </w:pPr>
      <w:rPr>
        <w:rFonts w:hint="default"/>
      </w:rPr>
    </w:lvl>
    <w:lvl w:ilvl="3" w:tplc="46441544">
      <w:numFmt w:val="bullet"/>
      <w:lvlText w:val="•"/>
      <w:lvlJc w:val="left"/>
      <w:pPr>
        <w:ind w:left="3390" w:hanging="205"/>
      </w:pPr>
      <w:rPr>
        <w:rFonts w:hint="default"/>
      </w:rPr>
    </w:lvl>
    <w:lvl w:ilvl="4" w:tplc="3F8A1788">
      <w:numFmt w:val="bullet"/>
      <w:lvlText w:val="•"/>
      <w:lvlJc w:val="left"/>
      <w:pPr>
        <w:ind w:left="4480" w:hanging="205"/>
      </w:pPr>
      <w:rPr>
        <w:rFonts w:hint="default"/>
      </w:rPr>
    </w:lvl>
    <w:lvl w:ilvl="5" w:tplc="1D28E3E0">
      <w:numFmt w:val="bullet"/>
      <w:lvlText w:val="•"/>
      <w:lvlJc w:val="left"/>
      <w:pPr>
        <w:ind w:left="5570" w:hanging="205"/>
      </w:pPr>
      <w:rPr>
        <w:rFonts w:hint="default"/>
      </w:rPr>
    </w:lvl>
    <w:lvl w:ilvl="6" w:tplc="A1C0C624">
      <w:numFmt w:val="bullet"/>
      <w:lvlText w:val="•"/>
      <w:lvlJc w:val="left"/>
      <w:pPr>
        <w:ind w:left="6660" w:hanging="205"/>
      </w:pPr>
      <w:rPr>
        <w:rFonts w:hint="default"/>
      </w:rPr>
    </w:lvl>
    <w:lvl w:ilvl="7" w:tplc="E18C55C6">
      <w:numFmt w:val="bullet"/>
      <w:lvlText w:val="•"/>
      <w:lvlJc w:val="left"/>
      <w:pPr>
        <w:ind w:left="7750" w:hanging="205"/>
      </w:pPr>
      <w:rPr>
        <w:rFonts w:hint="default"/>
      </w:rPr>
    </w:lvl>
    <w:lvl w:ilvl="8" w:tplc="1CC04054">
      <w:numFmt w:val="bullet"/>
      <w:lvlText w:val="•"/>
      <w:lvlJc w:val="left"/>
      <w:pPr>
        <w:ind w:left="8840" w:hanging="205"/>
      </w:pPr>
      <w:rPr>
        <w:rFonts w:hint="default"/>
      </w:rPr>
    </w:lvl>
  </w:abstractNum>
  <w:abstractNum w:abstractNumId="4" w15:restartNumberingAfterBreak="0">
    <w:nsid w:val="64613241"/>
    <w:multiLevelType w:val="hybridMultilevel"/>
    <w:tmpl w:val="28907126"/>
    <w:lvl w:ilvl="0" w:tplc="62CED174">
      <w:start w:val="1"/>
      <w:numFmt w:val="decimal"/>
      <w:lvlText w:val="%1."/>
      <w:lvlJc w:val="left"/>
      <w:pPr>
        <w:ind w:left="123" w:hanging="205"/>
        <w:jc w:val="left"/>
      </w:pPr>
      <w:rPr>
        <w:rFonts w:ascii="Segoe UI Light" w:eastAsia="Segoe UI Light" w:hAnsi="Segoe UI Light" w:cs="Segoe UI Light" w:hint="default"/>
        <w:color w:val="231F20"/>
        <w:spacing w:val="-1"/>
        <w:w w:val="100"/>
        <w:sz w:val="24"/>
        <w:szCs w:val="24"/>
      </w:rPr>
    </w:lvl>
    <w:lvl w:ilvl="1" w:tplc="0C486FA6">
      <w:numFmt w:val="bullet"/>
      <w:lvlText w:val="•"/>
      <w:lvlJc w:val="left"/>
      <w:pPr>
        <w:ind w:left="1210" w:hanging="205"/>
      </w:pPr>
      <w:rPr>
        <w:rFonts w:hint="default"/>
      </w:rPr>
    </w:lvl>
    <w:lvl w:ilvl="2" w:tplc="973ED17A">
      <w:numFmt w:val="bullet"/>
      <w:lvlText w:val="•"/>
      <w:lvlJc w:val="left"/>
      <w:pPr>
        <w:ind w:left="2300" w:hanging="205"/>
      </w:pPr>
      <w:rPr>
        <w:rFonts w:hint="default"/>
      </w:rPr>
    </w:lvl>
    <w:lvl w:ilvl="3" w:tplc="E21CC980">
      <w:numFmt w:val="bullet"/>
      <w:lvlText w:val="•"/>
      <w:lvlJc w:val="left"/>
      <w:pPr>
        <w:ind w:left="3390" w:hanging="205"/>
      </w:pPr>
      <w:rPr>
        <w:rFonts w:hint="default"/>
      </w:rPr>
    </w:lvl>
    <w:lvl w:ilvl="4" w:tplc="D80AA8CC">
      <w:numFmt w:val="bullet"/>
      <w:lvlText w:val="•"/>
      <w:lvlJc w:val="left"/>
      <w:pPr>
        <w:ind w:left="4480" w:hanging="205"/>
      </w:pPr>
      <w:rPr>
        <w:rFonts w:hint="default"/>
      </w:rPr>
    </w:lvl>
    <w:lvl w:ilvl="5" w:tplc="03F8AC94">
      <w:numFmt w:val="bullet"/>
      <w:lvlText w:val="•"/>
      <w:lvlJc w:val="left"/>
      <w:pPr>
        <w:ind w:left="5570" w:hanging="205"/>
      </w:pPr>
      <w:rPr>
        <w:rFonts w:hint="default"/>
      </w:rPr>
    </w:lvl>
    <w:lvl w:ilvl="6" w:tplc="1508223E">
      <w:numFmt w:val="bullet"/>
      <w:lvlText w:val="•"/>
      <w:lvlJc w:val="left"/>
      <w:pPr>
        <w:ind w:left="6660" w:hanging="205"/>
      </w:pPr>
      <w:rPr>
        <w:rFonts w:hint="default"/>
      </w:rPr>
    </w:lvl>
    <w:lvl w:ilvl="7" w:tplc="01B4C1E6">
      <w:numFmt w:val="bullet"/>
      <w:lvlText w:val="•"/>
      <w:lvlJc w:val="left"/>
      <w:pPr>
        <w:ind w:left="7750" w:hanging="205"/>
      </w:pPr>
      <w:rPr>
        <w:rFonts w:hint="default"/>
      </w:rPr>
    </w:lvl>
    <w:lvl w:ilvl="8" w:tplc="4600D894">
      <w:numFmt w:val="bullet"/>
      <w:lvlText w:val="•"/>
      <w:lvlJc w:val="left"/>
      <w:pPr>
        <w:ind w:left="8840" w:hanging="205"/>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7229C"/>
    <w:rsid w:val="003F3845"/>
    <w:rsid w:val="005015A1"/>
    <w:rsid w:val="00B7229C"/>
    <w:rsid w:val="00CD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3342722"/>
  <w15:docId w15:val="{FD7E3B29-BEDF-4134-B78A-E90DC2FF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Light" w:eastAsia="Segoe UI Light" w:hAnsi="Segoe UI Light" w:cs="Segoe UI Light"/>
    </w:rPr>
  </w:style>
  <w:style w:type="paragraph" w:styleId="Heading1">
    <w:name w:val="heading 1"/>
    <w:basedOn w:val="Normal"/>
    <w:uiPriority w:val="9"/>
    <w:qFormat/>
    <w:pPr>
      <w:spacing w:before="87" w:line="304" w:lineRule="exact"/>
      <w:ind w:left="123"/>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
    </w:pPr>
    <w:rPr>
      <w:sz w:val="24"/>
      <w:szCs w:val="24"/>
    </w:rPr>
  </w:style>
  <w:style w:type="paragraph" w:styleId="ListParagraph">
    <w:name w:val="List Paragraph"/>
    <w:basedOn w:val="Normal"/>
    <w:uiPriority w:val="1"/>
    <w:qFormat/>
    <w:pPr>
      <w:spacing w:before="2"/>
      <w:ind w:left="123"/>
    </w:pPr>
  </w:style>
  <w:style w:type="paragraph" w:customStyle="1" w:styleId="TableParagraph">
    <w:name w:val="Table Paragraph"/>
    <w:basedOn w:val="Normal"/>
    <w:uiPriority w:val="1"/>
    <w:qFormat/>
    <w:pPr>
      <w:spacing w:line="284" w:lineRule="exact"/>
      <w:ind w:left="3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xxtspine.com/"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1742</Words>
  <Characters>9934</Characters>
  <Application>Microsoft Office Word</Application>
  <DocSecurity>0</DocSecurity>
  <Lines>82</Lines>
  <Paragraphs>23</Paragraphs>
  <ScaleCrop>false</ScaleCrop>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70-046, Rev A, Nexxt Matrixx SA Cervical IFU</dc:title>
  <cp:lastModifiedBy>Grant Stohler</cp:lastModifiedBy>
  <cp:revision>4</cp:revision>
  <dcterms:created xsi:type="dcterms:W3CDTF">2019-10-14T20:07:00Z</dcterms:created>
  <dcterms:modified xsi:type="dcterms:W3CDTF">2020-03-26T14:20:00Z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Illustrator CC 23.0 (Windows)</vt:lpwstr>
  </property>
  <property fmtid="{D5CDD505-2E9C-101B-9397-08002B2CF9AE}" pid="4" name="LastSaved">
    <vt:filetime>2019-10-14T00:00:00Z</vt:filetime>
  </property>
</Properties>
</file>